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SN.2008.29 vom 8. August 2008</w:t>
      </w:r>
    </w:p>
    <w:p>
      <w:r>
        <w:t>Bundesstrafgericht, 2008-08-08, DE</w:t>
      </w:r>
    </w:p>
    <w:p>
      <w:r>
        <w:rPr>
          <w:b/>
        </w:rPr>
        <w:t xml:space="preserve">Quelle: </w:t>
      </w:r>
      <w:r>
        <w:t>https://mcp.opencaselaw.ch/entscheid/bstger_SN.2008.29</w:t>
      </w:r>
    </w:p>
    <w:p>
      <w:r>
        <w:t>FR: TPF SN.2008.29 du 8 août 2008</w:t>
      </w:r>
    </w:p>
    <w:p>
      <w:r>
        <w:t>IT: TPF SN.2008.29 del 8 agosto 2008</w:t>
      </w:r>
    </w:p>
    <w:p>
      <w:pPr>
        <w:pStyle w:val="Heading2"/>
      </w:pPr>
      <w:r>
        <w:t>Regeste</w:t>
      </w:r>
    </w:p>
    <w:p>
      <w:r>
        <w:t>Gesuch um vorzeitigen Strafantritt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April 2008 wurde die Voruntersuchung geschlossen (pag. 22.91).</w:t>
      </w:r>
    </w:p>
    <w:p>
      <w:r>
        <w:t>B. Die Bundesanwaltschaft erhob am 18. Juni 2008 bei der Strafkammer des Bun- desstrafgerichts gegen A. Anklage wegen mehrfach einfacher und qualifizierter Widerhandlung gegen das Betäubungsmittelgesetz, Fälschung von Ausweisen sowie mehrfacher Widerhandlung gegen das Bundesgesetz über Aufenthalt und Niederlassung der Ausländer (pag. 43.100.3–43.100.1).</w:t>
      </w:r>
    </w:p>
    <w:p>
      <w:r>
        <w:t>C. Mit Gesuch vom 24. Juli 2008 beantragte A. die Haftentlassung gegen Leistung einer Kaution von Fr. 60'000.--. Dieses Gesuch zog A. mit Schreiben vom 1. Au- gust 2008 zurück und beantragt stattdessen, es sei ihm der vorzeitige Strafantritt zu bewilligen.</w:t>
      </w:r>
    </w:p>
    <w:p>
      <w:r>
        <w:t>D. Mit Vernehmlassung vom 6. August 2008 beantragt die Bundesanwaltschaft, das Gesuch um Bewilligung des vorzeitigen Strafantritts sei abzuweisen.</w:t>
      </w:r>
    </w:p>
    <w:p>
      <w:r>
        <w:t>- 3 - Der Vorsitzende erwägt: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