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SN.2008.26 vom 29. Juli 2008</w:t>
      </w:r>
    </w:p>
    <w:p>
      <w:r>
        <w:t>Bundesstrafgericht, 2008-07-29, DE</w:t>
      </w:r>
    </w:p>
    <w:p>
      <w:r>
        <w:rPr>
          <w:b/>
        </w:rPr>
        <w:t xml:space="preserve">Quelle: </w:t>
      </w:r>
      <w:r>
        <w:t>https://mcp.opencaselaw.ch/entscheid/bstger_SN.2008.26</w:t>
      </w:r>
    </w:p>
    <w:p>
      <w:r>
        <w:t>FR: TPF SN.2008.26 du 29 juillet 2008</w:t>
      </w:r>
    </w:p>
    <w:p>
      <w:r>
        <w:t>IT: TPF SN.2008.26 del 29 luglio 2008</w:t>
      </w:r>
    </w:p>
    <w:p>
      <w:pPr>
        <w:pStyle w:val="Heading2"/>
      </w:pPr>
      <w:r>
        <w:t>Regeste</w:t>
      </w:r>
    </w:p>
    <w:p>
      <w:r>
        <w:t>Gesuch um Aufhebung der Meldepflicht</w:t>
      </w:r>
    </w:p>
    <w:p>
      <w:pPr>
        <w:pStyle w:val="Heading2"/>
      </w:pPr>
      <w:r>
        <w:t>Erwägungen</w:t>
      </w:r>
    </w:p>
    <w:p>
      <w:r>
        <w:rPr>
          <w:b/>
        </w:rPr>
        <w:t>E. 9</w:t>
      </w:r>
    </w:p>
    <w:p>
      <w:r>
        <w:t>März 2007 im Regionalgefängnis Burgdorf in Untersuchungshaft und an- schliessend bis 23. Oktober 2007 im vorzeitigen Strafvollzug in der Strafanstalt Lenzburg). Ausserdem kann im Falle einer allfälligen Verurteilung bei guter Füh- rung und nach Verbüssung von zwei Dritteln der Freiheitsstrafe eine bedingte Entlassung erfolgen (Art. 86 Abs. 1 StGB). Die Strafanstalt Lenzburg hat mit Schreiben vom 15. Juli 2008 dem Angeklagten ein sehr gutes Führungszeugnis ausgestellt. Die zuständige Polizeiwache hat keine negative Rückmeldung über die Meldepflicht des Angeklagten gemacht. Es ist daher davon auszugehen, dass der Angeklagte bislang der Meldepflicht nachgekommen ist. Der Angeklagte hat sich somit auch diesbezüglich wohlverhalten. Des Weitern hat der Angeklagte ei- ne Kaution von Fr. 40'000.-- bezahlt, was ebenfalls dafür spricht, dass er an der Hauptverhandlung erscheinen wird. Im Rahmen des Entscheides über die Auf- hebung der Meldepflicht ist ebenfalls zu berücksichtigen, dass sich der Angeklag- te derzeit ohnehin frei bewegen kann und bisher anstandslos aus dem Libanon in die Schweiz zurückgekehrt ist, um seine Meldepflicht zu erfüllen. Laut Gesuch des Angeklagten vom 4. Juli 2008 lebe er von seiner Frau getrennt. Er ist somit in der Schweiz (noch) verheiratet. Er ist weiterhin in der Schweiz angemeldet und hält sich bei seinem Bruder B. in Bern auf. Er ist somit offensichtlich bemüht, sei-</w:t>
      </w:r>
    </w:p>
    <w:p>
      <w:r>
        <w:t>- 6 - nen Lebensmittelpunkt - trotz der Trennung von seiner Ehefrau - weiterhin in der Schweiz aufrechtzuerhalten. Insofern bestehen genügend Garantien für seine Anwesenheit am Prozess. Der Angeklagte hat im Übrigen nachvollziehbar darge- legt, dass er sich zur Zeit um seine kranke Mutter im Libanon zu kümmern hat. Aufgrund dieses Umstandes sowie unter Berücksichtigung des Grundsatzes der Verhältnismässigkeit (Reisekosten etc.) ist es nicht mehr zumutbar, dass der An- geklagte alle zwei Wochen in die Schweiz zurückkehren muss, um seine Melde- pflicht zu erfüllen. Ebenso erscheinen die von der Bundesanwaltschaft beantrag- ten milderen Massnahmen (Meldepflicht bei der Botschaft in Beirut; Reisedaten bekannt geben; Erklärung abgeben, für die Teilnahme an der HV) nicht geeignet, um einer allfälligen Fluchtgefahr wirkungsvoll zu entgegnen, da er im Falle der Unterlassung dieser beantragten Massnahmen bereits im Libanon und damit im Hinblick auf die Hauptverhandlung vom November 2008 kaum rechtzeitig auf- findbar wäre. Gesamthaft betrachtet bestehen somit keine Anhaltspunkte, welche für eine Fluchtneigung sprechen. Zudem wäre eine solche, aufgrund der konkre- ten Umstände, ohnehin nicht mit einer Meldepflicht einschränkbar. Die mit Verfü- gung des Untersuchungsrichteramtes vom 9. Oktober 2007 angeordnete Melde- pflicht gegenüber dem Angeklagten wird somit aufgehoben.</w:t>
      </w:r>
    </w:p>
    <w:p>
      <w:r>
        <w:t>5. Das Gesuch um Aufhebung der Meldepflicht ist gutzuheissen.</w:t>
      </w:r>
    </w:p>
    <w:p>
      <w:r>
        <w:t>6. Es werden keine Kosten erhoben.</w:t>
      </w:r>
    </w:p>
    <w:p>
      <w:r>
        <w:t>7. Der vorliegende Entscheid unterliegt unter den allgemeinen Voraussetzungen von Art. 92 ff. BGG der Beschwerde in Strafsachen an das Bundesgericht ge- mäss Art. 78 ff. BGG (BGE 1B_95/2008 vom 14. Mai 2008 E. 1).</w:t>
      </w:r>
    </w:p>
    <w:p>
      <w:r>
        <w:t>- 7 - Die Vorsitzende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