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SK.2025.54 vom 14. Januar 2026</w:t>
      </w:r>
    </w:p>
    <w:p>
      <w:r>
        <w:t>Bundesstrafgericht, 2026-01-14, DE</w:t>
      </w:r>
    </w:p>
    <w:p>
      <w:r>
        <w:rPr>
          <w:b/>
        </w:rPr>
        <w:t xml:space="preserve">Quelle: </w:t>
      </w:r>
      <w:r>
        <w:t>https://mcp.opencaselaw.ch/entscheid/bstger_SK.2025.54</w:t>
      </w:r>
    </w:p>
    <w:p>
      <w:r>
        <w:t>FR: TPF SK.2025.54 du 14 janvier 2026</w:t>
      </w:r>
    </w:p>
    <w:p>
      <w:r>
        <w:t>IT: TPF SK.2025.54 del 14 gennaio 2026</w:t>
      </w:r>
    </w:p>
    <w:p>
      <w:pPr>
        <w:pStyle w:val="Heading2"/>
      </w:pPr>
      <w:r>
        <w:t>Regeste</w:t>
      </w:r>
    </w:p>
    <w:p>
      <w:r>
        <w:t>Gefährdung durch Sprengstoffe und giftige Gase in verbrecherischer Absicht (Art. 224 Abs. 1 StGB), qualifizierter Diebstahl (Art. 139 Ziff. 1 i.V.m. Ziff. 3 Abs. 4 aStGB), qualifizierte Sachbeschädigung (Art. 144 Abs. 1 i.V.m. Abs. 3 aStGB), Hausfriedensbruch (Art. 186 StGB)</w:t>
      </w:r>
    </w:p>
    <w:p>
      <w:pPr>
        <w:pStyle w:val="Heading2"/>
      </w:pPr>
      <w:r>
        <w:t>Erwägungen</w:t>
      </w:r>
    </w:p>
    <w:p>
      <w:r>
        <w:rPr>
          <w:b/>
        </w:rPr>
        <w:t>E. 1</w:t>
      </w:r>
    </w:p>
    <w:p>
      <w:r>
        <w:t>B.-VERSICHERUNG</w:t>
      </w:r>
    </w:p>
    <w:p>
      <w:r>
        <w:rPr>
          <w:b/>
        </w:rPr>
        <w:t>E. 2</w:t>
      </w:r>
    </w:p>
    <w:p>
      <w:r>
        <w:t>A. wird in Zusatz zum Urteil der Berufungskammer des Bundesstrafgerichts CA.2024.19 vom 31. Oktober 2024 mit einer Freiheitsstrafe von 12 Monaten be- straft. Der ausgestandene Freiheitsentzug (Untersuchungshaft, vorzeitiger Strafvollzug) von 104 Tagen wird auf den Vollzug der Strafe angerechnet.</w:t>
      </w:r>
    </w:p>
    <w:p>
      <w:r>
        <w:rPr>
          <w:b/>
        </w:rPr>
        <w:t>E. 3</w:t>
      </w:r>
    </w:p>
    <w:p>
      <w:r>
        <w:t>A. wird in solidarischer Haftbarkeit mit D. verpflichtet, der B.-Versicherung Schaden- ersatz von Fr. 74'876.25, zuzüglich Zins zu 5 % seit 20. Dezember 2019, zu bezah- len.</w:t>
      </w:r>
    </w:p>
    <w:p>
      <w:r>
        <w:rPr>
          <w:b/>
        </w:rPr>
        <w:t>E. 4</w:t>
      </w:r>
    </w:p>
    <w:p>
      <w:r>
        <w:t>Der B.-Versicherung und der C.-Genossenschaft wird keine Parteientschädigung zugesprochen.</w:t>
      </w:r>
    </w:p>
    <w:p>
      <w:r>
        <w:rPr>
          <w:b/>
        </w:rPr>
        <w:t>E. 5</w:t>
      </w:r>
    </w:p>
    <w:p>
      <w:r>
        <w:t>Die Verfahrenskosten von Fr. 19'649.50, bestehend aus den Kosten des Vorverfah- rens in Höhe von Fr. 18'649.50 (Gebühren: Fr. 5'000.– und Auslagen: Fr. 13'649.50) und der Gerichtsgebühr von Fr. 1‘000.–, werden A. auferlegt.</w:t>
      </w:r>
    </w:p>
    <w:p>
      <w:r>
        <w:rPr>
          <w:b/>
        </w:rPr>
        <w:t>E. 6</w:t>
      </w:r>
    </w:p>
    <w:p>
      <w:r>
        <w:t>Rechtsanwalt Daniel U. Walder wird für die amtliche Verteidigung von A. mit Fr. 11‘578.10 (inkl. MWST) aus der Kasse der Eidgenossenschaft entschädigt. A. wird verpflichtet, der Eidgenossenschaft für die Entschädigung der amtlichen Ver- teidigung Ersatz zu leisten, sobald es seine wirtschaftlichen Verhältnisse erlauben.</w:t>
      </w:r>
    </w:p>
    <w:p>
      <w:r>
        <w:rPr>
          <w:b/>
        </w:rPr>
        <w:t>E. 7</w:t>
      </w:r>
    </w:p>
    <w:p>
      <w:r>
        <w:t>Die Gegenstände und Daten gemäss Tabelle 1 der Anklageschrift werden eingezo- gen und vernichtet.</w:t>
      </w:r>
    </w:p>
    <w:p>
      <w:r>
        <w:rPr>
          <w:b/>
        </w:rPr>
        <w:t>E. 8</w:t>
      </w:r>
    </w:p>
    <w:p>
      <w:r>
        <w:t>Die Gegenstände und Daten gemäss Tabellen 2 und 3 der Anklageschrift werden eingezogen und bei den Akten belassen.</w:t>
      </w:r>
    </w:p>
    <w:p>
      <w:r>
        <w:t>- 3 - SK.2025.54</w:t>
      </w:r>
    </w:p>
    <w:p>
      <w:r>
        <w:rPr>
          <w:b/>
        </w:rPr>
        <w:t>E. 9</w:t>
      </w:r>
    </w:p>
    <w:p>
      <w:r>
        <w:t>Der Kanton St. Gallen wird als Vollzugskanton zu bestimmt. Dieses Urteil wird in der Hauptverhandlung eröffnet und durch den Einzelrichter mündlich begründet. Den anwesenden Parteien wird das Urteilsdispositiv ausgehändigt, den nicht anwesenden Parteien wird es schriftlich zugestellt. Im Namen der Strafkammer des Bundesstrafgerichts</w:t>
      </w:r>
    </w:p>
    <w:p>
      <w:r>
        <w:t>Der Einzelrichter</w:t>
      </w:r>
    </w:p>
    <w:p>
      <w:r>
        <w:t>Der Gerichtsschreiber</w:t>
      </w:r>
    </w:p>
    <w:p>
      <w:r>
        <w:t>- 4 - SK.2025.54 Nach Eintritt der Rechtskraft mitzuteilen an: − Bundesanwaltschaft, Urteilsvollzug − Amt für Justizvollzug, Straf- und Massnahmenvollzug, Kanton St. Gallen</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amtlichen Verteidigung und der Wahlverteidigung Gegen den Entschädigungsentscheid kann die amtliche Verteidigung das Rechtsmittel ergreifen, das gegen den Endentscheid zulässig ist (Art. 135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Hinweis: Auf eine schriftliche Begründung des Urteils wurde gemäss Art. 82 Abs. 1 StPO verzichtet.</w:t>
      </w:r>
    </w:p>
    <w:p>
      <w:r>
        <w:t>Versand: 14.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