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SK.2025.3 vom 2. Juli 2025</w:t>
      </w:r>
    </w:p>
    <w:p>
      <w:r>
        <w:t>Bundesstrafgericht, 2025-07-02, DE</w:t>
      </w:r>
    </w:p>
    <w:p>
      <w:r>
        <w:rPr>
          <w:b/>
        </w:rPr>
        <w:t xml:space="preserve">Quelle: </w:t>
      </w:r>
      <w:r>
        <w:t>https://mcp.opencaselaw.ch/entscheid/bstger_SK.2025.3</w:t>
      </w:r>
    </w:p>
    <w:p>
      <w:r>
        <w:t>FR: TPF SK.2025.3 du 2 juillet 2025</w:t>
      </w:r>
    </w:p>
    <w:p>
      <w:r>
        <w:t>IT: TPF SK.2025.3 del 2 luglio 2025</w:t>
      </w:r>
    </w:p>
    <w:p>
      <w:pPr>
        <w:pStyle w:val="Heading2"/>
      </w:pPr>
      <w:r>
        <w:t>Regeste</w:t>
      </w:r>
    </w:p>
    <w:p>
      <w:r>
        <w:t>Fälschung amtlicher Wertzeichen (Art. 245 StGB), Hinderung einer Amtshandlung (Art. 286 StGB)</w:t>
      </w:r>
    </w:p>
    <w:p>
      <w:pPr>
        <w:pStyle w:val="Heading2"/>
      </w:pPr>
      <w:r>
        <w:t>Erwägungen</w:t>
      </w:r>
    </w:p>
    <w:p>
      <w:r>
        <w:rPr>
          <w:b/>
        </w:rPr>
        <w:t>E. 1</w:t>
      </w:r>
    </w:p>
    <w:p>
      <w:r>
        <w:t>A. wird freigesprochen vom Vorwurf der Fälschung amtlicher Wertzeichen.</w:t>
      </w:r>
    </w:p>
    <w:p>
      <w:r>
        <w:rPr>
          <w:b/>
        </w:rPr>
        <w:t>E. 2</w:t>
      </w:r>
    </w:p>
    <w:p>
      <w:r>
        <w:t>A. wird schuldig gesprochen der Hinderung einer Amtshandlung (Art. 286 StGB).</w:t>
      </w:r>
    </w:p>
    <w:p>
      <w:r>
        <w:rPr>
          <w:b/>
        </w:rPr>
        <w:t>E. 3</w:t>
      </w:r>
    </w:p>
    <w:p>
      <w:r>
        <w:t>A. wird bestraft mit einer Geldstrafe von 10 Tagessätzen à Fr. 50.–, bedingt vollzieh- bar bei einer Probezeit von 2 Jahren. Die Polizeihaft von einem Tag wird auf die Strafe angerechnet.</w:t>
      </w:r>
    </w:p>
    <w:p>
      <w:r>
        <w:rPr>
          <w:b/>
        </w:rPr>
        <w:t>E. 4</w:t>
      </w:r>
    </w:p>
    <w:p>
      <w:r>
        <w:t>Die sichergestellte Autobahnvignette 2022 Nr. […] wird eingezogen und vernichtet.</w:t>
      </w:r>
    </w:p>
    <w:p>
      <w:r>
        <w:rPr>
          <w:b/>
        </w:rPr>
        <w:t>E. 5</w:t>
      </w:r>
    </w:p>
    <w:p>
      <w:r>
        <w:t>Die Verfahrenskosten betragen Fr. 2'000.– (Kosten des Vorverfahrens und die Ge- richtsgebühr von jeweils Fr. 1'000.–). Hiervon werden A. Fr. 1'600.– auferlegt. Wird seitens von A. keine schriftliche Begründung des Urteils veranlasst, so redu- zieren sich die von ihm zu tragenden Verfahrenskosten auf Fr. 1’200.–.</w:t>
      </w:r>
    </w:p>
    <w:p>
      <w:r>
        <w:rPr>
          <w:b/>
        </w:rPr>
        <w:t>E. 6</w:t>
      </w:r>
    </w:p>
    <w:p>
      <w:r>
        <w:t>A. wird für seine Aufwendungen im Strafverfahren von der Eidgenossenschaft mit Fr. 200.– entschädigt. Dieses Urteil wird in der Hauptverhandlung eröffnet und durch die Einzelrichterin mündlich begründet. Dem Beschuldigten wird das Urteilsdispositiv ausgehändigt, der Bundesan- waltschaft wird es zugestellt. Im Namen der Strafkammer des Bundesstrafgerichts</w:t>
      </w:r>
    </w:p>
    <w:p>
      <w:r>
        <w:t>Die Einzelrichterin Der Gerichtsschreiber</w:t>
      </w:r>
    </w:p>
    <w:p>
      <w:r>
        <w:t>- 3 - SK.2025.3 Nach Eintritt der Rechtskraft mitzuteilen an: - Bundesanwaltschaft (als Vollzugsbehörde)</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Wahlverteidigung 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Hinweis: Auf eine schriftliche Begründung des Urteils wurde gemäss Art. 82 Abs. 1 StPO verzichtet.</w:t>
      </w:r>
    </w:p>
    <w:p>
      <w:r>
        <w:t>Versand: 3.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