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SK.2025.20 vom 17. September 2025</w:t>
      </w:r>
    </w:p>
    <w:p>
      <w:r>
        <w:t>Bundesstrafgericht, 2025-09-17, FR</w:t>
      </w:r>
    </w:p>
    <w:p>
      <w:r>
        <w:rPr>
          <w:b/>
        </w:rPr>
        <w:t xml:space="preserve">Quelle: </w:t>
      </w:r>
      <w:r>
        <w:t>https://mcp.opencaselaw.ch/entscheid/bstger_SK.2025.20</w:t>
      </w:r>
    </w:p>
    <w:p>
      <w:r>
        <w:t>FR: TPF SK.2025.20 du 17 septembre 2025</w:t>
      </w:r>
    </w:p>
    <w:p>
      <w:r>
        <w:t>IT: TPF SK.2025.20 del 17 settembre 2025</w:t>
      </w:r>
    </w:p>
    <w:p>
      <w:pPr>
        <w:pStyle w:val="Heading2"/>
      </w:pPr>
      <w:r>
        <w:t>Regeste</w:t>
      </w:r>
    </w:p>
    <w:p>
      <w:r>
        <w:t>Effets accessoires de l'ordonnance de classement (confiscation) Classement de la procédure</w:t>
      </w:r>
    </w:p>
    <w:p>
      <w:pPr>
        <w:pStyle w:val="Heading2"/>
      </w:pPr>
      <w:r>
        <w:t>Erwägungen</w:t>
      </w:r>
    </w:p>
    <w:p>
      <w:r>
        <w:rPr>
          <w:b/>
        </w:rPr>
        <w:t>E. 11</w:t>
      </w:r>
    </w:p>
    <w:p>
      <w:r>
        <w:t>mars 2025 porte sur le classement de la procédure, ainsi que sur la partie confiscatoire, de sorte que la Cour de céans est compétente pour en traiter en application de l’art. 322 al. 2 CPP»; − qu’au demeurant, la présente procédure a été suspendue jusqu’à droit connu sur le sort de la procédure de recours; − que, l’ordonnance de classement ayant été annulée, il ne peut être exclu que la reprise de l’instruction de la cause par l’autorité de poursuite n’aboutisse à un résultat différent également quant aux fonds séquestrés; − qu’il n’est à cet égard pas relevant que l’ordonnance de classement ait été an- nulée pour un vice de notification, l’ordonnance ayant en tout état de cause été intégralement annulée; − qu’eu égard à la décision de la Cour des plaintes du 6 août 2025, la décision fondant l’opposition de la République de Tunisie a été mise à néant; − que l’opposition de la République de Tunisie est ainsi devenue sans objet;</w:t>
      </w:r>
    </w:p>
    <w:p>
      <w:r>
        <w:t>- 5 - SK.2025.20 − que, lorsqu’un jugement ne peut définitivement pas être rendu, le tribunal classe la procédure, après avoir accordé le droit d’être entendu aux parties ainsi qu’aux tiers touchés par la décision de classement (art. 329 al. 4 CPP); − que, partant, la présente procédure doit être classée et rayée du rôle; − que les frais de la présente cause, fixés à CHF 700.-, sont pris en charge par la Confédération suisse; − qu’en principe, la partie qui obtient gain de cause a droit à une indemnité pour les dépenses occasionnées par l’exercice raisonnable de ses droits de procé- dure (art. 429 al. 1 let. a CPP); − qu’au vu de la décision BB.2025.28, l’opposition formée par la République de Tunisie n’apparaissait pas dénuée de pertinence; − que, la République de Tunisie n’ayant pas produit de liste des opérations, elle se voit octroyer, pour l’opposition du 12 avril 2025 – dont le contenu est similaire à son recours du même jour – ainsi que pour la prise de position du 12 sep- tembre 2025, une indemnité de CHF 500.- à charge de la Confédération suisse.</w:t>
      </w:r>
    </w:p>
    <w:p>
      <w:r>
        <w:t>- 6 - SK.2025.20 Par ces motifs, le juge unique prononce: 1. La procédure est classée et la cause SK.2025.20 est rayée du rôle. 2. Un émolument judiciaire de CHF 700.- est pris en charge par la Confédération suisse. 3. Une indemnité de CHF 500.- est allouée à la République de Tunisie à titre de dépens et mise à charge de la Confédération suisse. Au nom de la Cour des affaires pénales du Tribunal pénal fédéral</w:t>
      </w:r>
    </w:p>
    <w:p>
      <w:r>
        <w:t>Le président La greffière</w:t>
      </w:r>
    </w:p>
    <w:p>
      <w:r>
        <w:t>Distribution (acte judiciaire) − Ministère public de la Confédération, Madame Sophie Chofflon Pointet, Procu- reure fédérale − Maître Antonia Mottironi − Maître Jean-Marc Carnicé (mandataire de C. et D.) Copie à − Tribunal pénal fédéral, Cour des plaintes (BB.2025.33) (brevi manu) − Maître Alexandre Montavon (défenseur de F.) (recommandé) − Héritiers de feu G. (publication à la Feuille fédérale)</w:t>
      </w:r>
    </w:p>
    <w:p>
      <w:r>
        <w:t>- 7 - SK.2025.20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Moyens de droit du défenseur d’office et du défenseur privé Le défenseur d’office peut contester la décision fixant l’indemnité en usant du moyen de droit permettant d’attaquer la décision finale (art. 135 al. 3 CPP).</w:t>
      </w:r>
    </w:p>
    <w:p>
      <w:r>
        <w:t>Le défenseur privé peut contester la décision fixant l’indemnité en usant des voies de droit autorisées pour attaquer la décision finale (art. 429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17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