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SK.2025.10 vom 17. April 2025</w:t>
      </w:r>
    </w:p>
    <w:p>
      <w:r>
        <w:t>Bundesstrafgericht, 2025-04-17, FR</w:t>
      </w:r>
    </w:p>
    <w:p>
      <w:r>
        <w:rPr>
          <w:b/>
        </w:rPr>
        <w:t xml:space="preserve">Quelle: </w:t>
      </w:r>
      <w:r>
        <w:t>https://mcp.opencaselaw.ch/entscheid/bstger_SK.2025.10</w:t>
      </w:r>
    </w:p>
    <w:p>
      <w:r>
        <w:t>FR: TPF SK.2025.10 du 17 avril 2025</w:t>
      </w:r>
    </w:p>
    <w:p>
      <w:r>
        <w:t>IT: TPF SK.2025.10 del 17 aprile 2025</w:t>
      </w:r>
    </w:p>
    <w:p>
      <w:pPr>
        <w:pStyle w:val="Heading2"/>
      </w:pPr>
      <w:r>
        <w:t>Regeste</w:t>
      </w:r>
    </w:p>
    <w:p>
      <w:r>
        <w:t>Escroquerie d'importance mineure (art. 146 al. 1 CP en relation avec l'art. 172ter CP) et mise en circulation de fausse monnaie (art. 242 al. 1 CP en relation avec l'art. 250 CP)</w:t>
      </w:r>
    </w:p>
    <w:p>
      <w:pPr>
        <w:pStyle w:val="Heading2"/>
      </w:pPr>
      <w:r>
        <w:t>Erwägungen</w:t>
      </w:r>
    </w:p>
    <w:p>
      <w:r>
        <w:rPr>
          <w:b/>
        </w:rPr>
        <w:t>E. 1</w:t>
      </w:r>
    </w:p>
    <w:p>
      <w:r>
        <w:t>La procédure pénale dirigée contre A. pour escroquerie d’importance mineure (art. 146 al. 1 CP en relation avec l’art. 172ter CP) est classée faute de plainte pénale valable.</w:t>
      </w:r>
    </w:p>
    <w:p>
      <w:r>
        <w:rPr>
          <w:b/>
        </w:rPr>
        <w:t>E. 2</w:t>
      </w:r>
    </w:p>
    <w:p>
      <w:r>
        <w:t>A. est reconnu coupable de mise en circulation de fausse monnaie (art. 242 al. 1 CP en relation avec l’art. 250 CP).</w:t>
      </w:r>
    </w:p>
    <w:p>
      <w:r>
        <w:rPr>
          <w:b/>
        </w:rPr>
        <w:t>E. 3</w:t>
      </w:r>
    </w:p>
    <w:p>
      <w:r>
        <w:t>A. est condamné à une peine pécuniaire de 15 jours-amende à CHF 30.- le jour- amende.</w:t>
      </w:r>
    </w:p>
    <w:p>
      <w:r>
        <w:rPr>
          <w:b/>
        </w:rPr>
        <w:t>E. 4</w:t>
      </w:r>
    </w:p>
    <w:p>
      <w:r>
        <w:t>Les autorités du canton du Valais sont compétentes pour l’exécution de la peine pécuniaire. II. Confiscation Les deux contrefaçons d’EUR 100.- (n° de série […] et […]) sont confisquées (art. 249 al. 1 CP) et transmises à l’Office fédéral de la police pour destruction ou mise hors d’usage (art. 249 al. 1 CP). III. Partie plaignante La partie plaignante B. est renvoyée à agir par la voie civile pour ses conclusions civiles (art. 126 al. 2 let. a CPP). IV. Frais de procédure 1. Les frais de procédure se chiffrent à CHF 800.- (procédure préliminaire: CHF 500.- [émoluments]; procédure de première instance: CHF 300.- [émolu- ments]). 2. Les frais de procédure sont intégralement mis à la charge de A. (art. 426 al. 1 et 2 CPP).</w:t>
      </w:r>
    </w:p>
    <w:p>
      <w:r>
        <w:t>- 3 - SK.2025.10 Au nom de la Cour des affaires pénales du Tribunal pénal fédéral</w:t>
      </w:r>
    </w:p>
    <w:p>
      <w:r>
        <w:t>Le juge unique Le greffier</w:t>
      </w:r>
    </w:p>
    <w:p>
      <w:r>
        <w:t>Motivation orale et remise du dispositif brevi manu: − A.</w:t>
      </w:r>
    </w:p>
    <w:p>
      <w:r>
        <w:t>Distribution: − Ministère public de la Confédération, Madame Caterina Aeberli, Procureure fédérale (acte judiciaire) − B. (acte judiciaire)</w:t>
      </w:r>
    </w:p>
    <w:p>
      <w:r>
        <w:t>Une copie du présent jugement est communiquée à (recommandé): − C., Service officiel de la curatelle − Service de l’application des peines et mesures (SAPEM) du canton du Valais − Office fédéral de la police (pour information) − Service de la population et de la migration du canton du Valais (pour information)</w:t>
      </w:r>
    </w:p>
    <w:p>
      <w:r>
        <w:t>L’entrée en force du jugement sera communiquée à: − Ministère public de la Confédération, Exécution des jugements (en tant qu’autorité d’exécution) − Service de l’application des peines et mesures (SAPEM) du canton du Valais − Office fédéral de la police − Service de la population et de la migration du canton du Valais</w:t>
      </w:r>
    </w:p>
    <w:p>
      <w:r>
        <w:t>- 4 - SK.2025.10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CP ou, lors de la révocation du sursis, une peine privative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