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SK.2024.67 vom 15. September 2025</w:t>
      </w:r>
    </w:p>
    <w:p>
      <w:r>
        <w:t>Bundesstrafgericht, 2025-09-15, FR</w:t>
      </w:r>
    </w:p>
    <w:p>
      <w:r>
        <w:rPr>
          <w:b/>
        </w:rPr>
        <w:t xml:space="preserve">Quelle: </w:t>
      </w:r>
      <w:r>
        <w:t>https://mcp.opencaselaw.ch/entscheid/bstger_SK.2024.67</w:t>
      </w:r>
    </w:p>
    <w:p>
      <w:r>
        <w:t>FR: TPF SK.2024.67 du 15 septembre 2025</w:t>
      </w:r>
    </w:p>
    <w:p>
      <w:r>
        <w:t>IT: TPF SK.2024.67 del 15 settembre 2025</w:t>
      </w:r>
    </w:p>
    <w:p>
      <w:pPr>
        <w:pStyle w:val="Heading2"/>
      </w:pPr>
      <w:r>
        <w:t>Regeste</w:t>
      </w:r>
    </w:p>
    <w:p>
      <w:r>
        <w:t>Injure (art. 177 al. 1 CP)</w:t>
      </w:r>
    </w:p>
    <w:p>
      <w:pPr>
        <w:pStyle w:val="Heading2"/>
      </w:pPr>
      <w:r>
        <w:t>Erwägungen</w:t>
      </w:r>
    </w:p>
    <w:p>
      <w:r>
        <w:rPr>
          <w:b/>
        </w:rPr>
        <w:t>E. 1</w:t>
      </w:r>
    </w:p>
    <w:p>
      <w:r>
        <w:t>La procédure dirigée contre A. pour les messages adressés à B. les 27 sep- tembre 2023, 28 septembre 2023 et 20 octobre 2023 est classée, faute de plainte pénale valable.</w:t>
      </w:r>
    </w:p>
    <w:p>
      <w:r>
        <w:rPr>
          <w:b/>
        </w:rPr>
        <w:t>E. 2</w:t>
      </w:r>
    </w:p>
    <w:p>
      <w:r>
        <w:t>A. est reconnu coupable d’injure (art. 177 al. 1 CP) pour tous les messages adressés à B. le 18 juin 2023.</w:t>
      </w:r>
    </w:p>
    <w:p>
      <w:r>
        <w:rPr>
          <w:b/>
        </w:rPr>
        <w:t>E. 3</w:t>
      </w:r>
    </w:p>
    <w:p>
      <w:r>
        <w:t>A. est condamné à une peine pécuniaire de 30 jours-amende à CHF 160.- le jour- amende.</w:t>
      </w:r>
    </w:p>
    <w:p>
      <w:r>
        <w:rPr>
          <w:b/>
        </w:rPr>
        <w:t>E. 4</w:t>
      </w:r>
    </w:p>
    <w:p>
      <w:r>
        <w:t>A. est mis au bénéfice du sursis à l’exécution de la peine durant un délai d’épreuve de deux ans.</w:t>
      </w:r>
    </w:p>
    <w:p>
      <w:r>
        <w:rPr>
          <w:b/>
        </w:rPr>
        <w:t>E. 5</w:t>
      </w:r>
    </w:p>
    <w:p>
      <w:r>
        <w:t>Il est renoncé au prononcé d’une amende (art. 42 al. 4 CP). II. Partie plaignante La partie plaignante B. est renvoyée à agir par la voie civile pour ses conclusions civiles éventuelles (art. 126 al. 2 let. a et b CPP). III. Frais de procédure et indemnités 1. Les frais de procédure se chiffrent à CHF 5'400.- (procédure préliminaire: CHF 4'500.-; procédure de première instance: CHF 900.- [émoluments]). 2. Les frais de procédure sont mis à la charge de A. à concurrence de 2/3, soit CHF 3'600.-, le solde étant laissé à charge de la Confédération (art. 426 al. 1 CPP). 3. Une indemnité de CHF 1'800.- est allouée à A. pour ses frais de défense (art. 429 al. 1 let. a CPP).</w:t>
      </w:r>
    </w:p>
    <w:p>
      <w:r>
        <w:t>- 3 - SK.2024.67 Au nom de la Cour des affaires pénales du Tribunal pénal fédéral</w:t>
      </w:r>
    </w:p>
    <w:p>
      <w:r>
        <w:t>Le juge unique La greffière</w:t>
      </w:r>
    </w:p>
    <w:p>
      <w:r>
        <w:t>Motivation orale du jugement et remise du dispositif brevi manu: − Ministère public de la Confédération, Madame la Procureure fédérale Caterina Aeberli − Me Daniel Trajilovic</w:t>
      </w:r>
    </w:p>
    <w:p>
      <w:r>
        <w:t>Distribution (acte judiciaire): − B. L’entrée en force du jugement sera communiquée à: − Ministère public de la Confédération, Exécution des jugements (en tant qu’autorité d’exécution)</w:t>
      </w:r>
    </w:p>
    <w:p>
      <w:r>
        <w:t>- 4 - SK.2024.67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CP ou, lors de la révocation du sursis, une peine privative de liberté de plus de deux ans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Si un appel ne porte que sur les conclusions civiles, la juridiction d’appel n’examine le jugement de première instance que dans la mesure où le droit de procédure civile applicable au for autoriserait l’appel (art. 398 al. 5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