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 vom 7. Juni 2024</w:t>
      </w:r>
    </w:p>
    <w:p>
      <w:r>
        <w:t>Bundesstrafgericht, 2024-06-07, DE</w:t>
      </w:r>
    </w:p>
    <w:p>
      <w:r>
        <w:rPr>
          <w:b/>
        </w:rPr>
        <w:t xml:space="preserve">Quelle: </w:t>
      </w:r>
      <w:r>
        <w:t>https://mcp.opencaselaw.ch/entscheid/bstger_SK.2024.6</w:t>
      </w:r>
    </w:p>
    <w:p>
      <w:r>
        <w:t>FR: TPF SK.2024.6 du 7 juin 2024</w:t>
      </w:r>
    </w:p>
    <w:p>
      <w:r>
        <w:t>IT: TPF SK.2024.6 del 7 giugno 2024</w:t>
      </w:r>
    </w:p>
    <w:p>
      <w:pPr>
        <w:pStyle w:val="Heading2"/>
      </w:pPr>
      <w:r>
        <w:t>Regeste</w:t>
      </w:r>
    </w:p>
    <w:p>
      <w:r>
        <w:t>Gültigkeit der Einsprache; Art. 356 Abs. 2 StPO</w:t>
      </w:r>
    </w:p>
    <w:p>
      <w:pPr>
        <w:pStyle w:val="Heading2"/>
      </w:pPr>
      <w:r>
        <w:t>Erwägungen</w:t>
      </w:r>
    </w:p>
    <w:p>
      <w:r>
        <w:rPr>
          <w:b/>
        </w:rPr>
        <w:t>E. 31</w:t>
      </w:r>
    </w:p>
    <w:p>
      <w:r>
        <w:t>Oktober 2023 wird nicht eingetreten. 2. Die gerichtlichen Verfahrenskosten von Fr. 300.– werden A. auferlegt. 3. Diese Verfügung wird den Parteien schriftlich eröffnet.</w:t>
      </w:r>
    </w:p>
    <w:p>
      <w:r>
        <w:t>Im Namen der Strafkammer des Bundesstrafgerichts</w:t>
      </w:r>
    </w:p>
    <w:p>
      <w:r>
        <w:t>Der Einzelrichter</w:t>
      </w:r>
    </w:p>
    <w:p>
      <w:r>
        <w:t>Der Gerichtsschreiber</w:t>
      </w:r>
    </w:p>
    <w:p>
      <w:r>
        <w:t>- 6 - SK.2024.6 Eine vollständige schriftliche Ausfertigung wird zugestellt an − Staatsanwalt des Bundes Johannes Rinnerthaler (Bundesanwaltschaft) − A. (Beschuldigter) − B. (Privatkläger) Nach Eintritt der Rechtskraft mitzuteilen an − Bundesanwaltschaft, Urteilsvollzug (vollständig)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7.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