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SK.2024.57 vom 9. Mai 2025</w:t>
      </w:r>
    </w:p>
    <w:p>
      <w:r>
        <w:t>Bundesstrafgericht, 2025-05-09, DE</w:t>
      </w:r>
    </w:p>
    <w:p>
      <w:r>
        <w:rPr>
          <w:b/>
        </w:rPr>
        <w:t xml:space="preserve">Quelle: </w:t>
      </w:r>
      <w:r>
        <w:t>https://mcp.opencaselaw.ch/entscheid/bstger_SK.2024.57</w:t>
      </w:r>
    </w:p>
    <w:p>
      <w:r>
        <w:t>FR: TPF SK.2024.57 du 9 mai 2025</w:t>
      </w:r>
    </w:p>
    <w:p>
      <w:r>
        <w:t>IT: TPF SK.2024.57 del 9 maggio 2025</w:t>
      </w:r>
    </w:p>
    <w:p>
      <w:pPr>
        <w:pStyle w:val="Heading2"/>
      </w:pPr>
      <w:r>
        <w:t>Regeste</w:t>
      </w:r>
    </w:p>
    <w:p>
      <w:r>
        <w:t>Gültigkeit der Einsprache (Art. 356 Abs. 2 StPO)</w:t>
      </w:r>
    </w:p>
    <w:p>
      <w:pPr>
        <w:pStyle w:val="Heading2"/>
      </w:pPr>
      <w:r>
        <w:t>Erwägungen</w:t>
      </w:r>
    </w:p>
    <w:p>
      <w:r>
        <w:rPr>
          <w:b/>
        </w:rPr>
        <w:t>E. 1.1</w:t>
      </w:r>
    </w:p>
    <w:p>
      <w:r>
        <w:t>Gegen den Strafbefehl kann u. a. die beschuldigte Person bei der Staatsanwalt- schaft innert 10 Tagen nach der Eröffnung schriftlich Einsprache erheben (Art. 354 Abs. 1 lit. a StPO). Wird Einsprache erhoben und entschliesst sich die Staatsanwaltschaft nach der allfälligen Abnahme weiterer Beweise, am Strafbe- fehl festzuhalten, so überweist sie die Akten dem erstinstanzlichen Gericht zur Durchführung des Hauptverfahrens; der Strafbefehl gilt diesfalls als Anklage- schrift (Art. 355 Abs. 1 und Abs. 3 lit. a i.V.m. Art. 356 Abs. 1 StPO).</w:t>
      </w:r>
    </w:p>
    <w:p>
      <w:r>
        <w:rPr>
          <w:b/>
        </w:rPr>
        <w:t>E. 1.2</w:t>
      </w:r>
    </w:p>
    <w:p>
      <w:r>
        <w:t>Das erstinstanzliche Gericht entscheidet gemäss Art. 356 Abs. 2 StPO – vorfra- geweise im Rahmen von Art. 329 Abs. 1 lit. b (mithin nach Eingang der Anklage bzw. der Akten mit dem Strafbefehl) bzw. Art. 339 Abs. 2 lit. b StPO (mithin nach Eröffnung der Hauptverhandlung) – über die Gültigkeit des Strafbefehls und der Einsprache. Das Gericht hat in einem ersten Schritt die Gültigkeit der Einsprache zu prüfen, da es sich dabei um eine unabdingbare Prozessvoraussetzung, ein «Eintrittstor» zum Verfahren nach Art. 356 StPO handelt (Verfügung des Bundesstrafgerichts SK.2024.8 vom 6. September 2024 E. 2.5.1; DAPHINOFF, Basler Kommentar,</w:t>
      </w:r>
    </w:p>
    <w:p>
      <w:r>
        <w:rPr>
          <w:b/>
        </w:rPr>
        <w:t>E. 3</w:t>
      </w:r>
    </w:p>
    <w:p>
      <w:r>
        <w:t>Aufl. 2023, Art. 356 StPO N. 17). Ist die Einsprache ungültig, etwa wegen</w:t>
      </w:r>
    </w:p>
    <w:p>
      <w:r>
        <w:t>- 3 - SK.2024.57 verspäteter Einreichung, tritt das Gericht mit einer beschwerdefähigen Verfügung bzw. einem Beschluss darauf nicht ein (Urteil des Bundesgerichts 6B_218/2020 vom 17. April 2020 E. 1.1). Ohne gültige Einsprache wird der Strafbefehl zum rechtskräftigen Urteil (Art. 354 Abs. 3 StPO). Kommt das Gericht zum Schluss, die Einsprache sei gültig, hat es die Gültigkeit des Strafbefehls zu prüfen (Verfügung des Bundesstrafgerichts SK.2024.8 vom</w:t>
      </w:r>
    </w:p>
    <w:p>
      <w:r>
        <w:rPr>
          <w:b/>
        </w:rPr>
        <w:t>E. 6</w:t>
      </w:r>
    </w:p>
    <w:p>
      <w:r>
        <w:t>September 2024 E. 2.5.2; DAPHINOFF, a.a.O., N. 20). Ist der Strafbefehl ungül- tig, so hebt das Gericht ihn auf und weist den Fall zur Durchführung eines neuen Vorverfahrens an die Staatsanwaltschaft zurück (Art. 356 Abs. 5 StPO). Sind sowohl der Strafbefehl als auch die Einsprache gültig, kommt es zur Haupt- verhandlung und Urteilsfällung. Sind hingegen sowohl der Strafbefehl als auch die Einsprache ungültig, erwächst der an sich ungültige Strafbefehl in Rechts- kraft. Etwas anderes gilt nur bei einem nichtigen Strafbefehl, der keine Rechts- wirkungen entfaltet (DAPHINOFF, a.a.O., N. 20; SCHWARZENEGGER, Zürcher Kom- mentar, 3. Aufl. 2020, Art. 354 StPO N. 2). 2. Im Folgenden ist zu prüfen, ob die Einsprache vom 22. August 2024 gegen den Strafbefehl vom 25. Juli 2024 rechtzeitig erhoben wurde. 3. Die Verteidigung bringt vor, der Strafbefehl weise in mehrfacher Hinsicht gravie- rende rechtliche Mängel auf, insbesondere fehle es an einer rechtsgenüglichen Eröffnung. Der Strafbefehl entfalte damit keinerlei Rechtswirkungen, weshalb die Einsprachefrist nicht ausgelöst worden sei. Konkret macht die Verteidigung Fol- gendes geltend: Erstens sei der Strafbefehl an eine falsche Adresse zugestellt worden. Die Be- schuldigte sei seit dem 8. Oktober 2023 nicht mehr an der im Rubrum des Straf- befehls angegebenen Adresse «B.-Strasse, Z.», sondern an der C.-Strasse, Y. gemeldet gewesen. Zweitens habe die Bundesanwaltschaft den Grundsatz der Verfahrenseinheit (i.S.v. Art. 29 Abs. 1 lit. a StPO) verletzt und drittens habe sie den Strafbefehl aufgrund dessen in Verletzung von Art. 87 Abs. 3 StPO nicht dem anwaltlichen Vertreter, sondern direkt der Beschuldigten zugestellt. Namentlich sei, als die Strafanzeige (des Staatssekretariats für Bildung, Forschung und Innovation SBFI) am 5. Juli 2024 bei der Bundesanwaltschaft eingegangen sei, bereits seit mehr als einem Monat ein anderes Strafverfahren gegen die Beschuldigte mit quasi identischem Vorwurf (Fälschung von Ausweisen gemäss Art. 252 StGB) bei der Staatsanwaltschaft Winterthur / Unterland hängig gewesen. In diesem zweiten Verfahren sei die Beschuldigte von RA Füllemann vertreten. Das hän- gige Verfahren sei aus dem Strafregisterauszug, den die Bundesanwaltschaft am</w:t>
      </w:r>
    </w:p>
    <w:p>
      <w:r>
        <w:rPr>
          <w:b/>
        </w:rPr>
        <w:t>E. 8</w:t>
      </w:r>
    </w:p>
    <w:p>
      <w:r>
        <w:t>Abschliessend ist Folgendes anzumerken: Die Bundesanwaltschaft reichte dem Gericht die Verfahrensakten zum Teil nur in elektronischer Form (sog. Core.Link-Dossier) ein (SK pag. 2.100.2). Ob diese Form der Aktenführung den gesetzlichen Anforderungen (Art. 100 StPO) genügt, braucht hier nicht geprüft zu werden, da alle für die Beurteilung der Gültigkeit der Einsprache relevanten Verfahrensakten dem Gericht in Originalform vorliegen.</w:t>
      </w:r>
    </w:p>
    <w:p>
      <w:r>
        <w:t>- 7 - SK.2024.57 Der Einzelrichter erkennt: 1. Auf die Einsprache von A. gegen den Strafbefehl der Bundesanwaltschaft vom 25. Juli 2024 wird nicht eingetreten. 2. Die Gerichtsgebühr von Fr. 500.– wird A. auferlegt. 3. Diese Verfügung wird den Parteien schriftlich zugestellt. Im Namen der Strafkammer des Bundesstrafgerichts</w:t>
      </w:r>
    </w:p>
    <w:p>
      <w:r>
        <w:t>Der Einzelrichter Der Gerichtsschreiber</w:t>
      </w:r>
    </w:p>
    <w:p>
      <w:r>
        <w:t>Nach Eintritt der Rechtskraft mitzuteilen an - Bundesanwaltschaft, Urteilsvollzug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9.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