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SK.2024.44 vom 7. November 2024</w:t>
      </w:r>
    </w:p>
    <w:p>
      <w:r>
        <w:t>Bundesstrafgericht, 2024-11-07, DE</w:t>
      </w:r>
    </w:p>
    <w:p>
      <w:r>
        <w:rPr>
          <w:b/>
        </w:rPr>
        <w:t xml:space="preserve">Quelle: </w:t>
      </w:r>
      <w:r>
        <w:t>https://mcp.opencaselaw.ch/entscheid/bstger_SK.2024.44</w:t>
      </w:r>
    </w:p>
    <w:p>
      <w:r>
        <w:t>FR: TPF SK.2024.44 du 7 novembre 2024</w:t>
      </w:r>
    </w:p>
    <w:p>
      <w:r>
        <w:t>IT: TPF SK.2024.44 del 7 novembre 2024</w:t>
      </w:r>
    </w:p>
    <w:p>
      <w:pPr>
        <w:pStyle w:val="Heading2"/>
      </w:pPr>
      <w:r>
        <w:t>Regeste</w:t>
      </w:r>
    </w:p>
    <w:p>
      <w:r>
        <w:t>Hinderung einer Amtshandlung (Art. 286 StGB)</w:t>
      </w:r>
    </w:p>
    <w:p>
      <w:pPr>
        <w:pStyle w:val="Heading2"/>
      </w:pPr>
      <w:r>
        <w:t>Erwägungen</w:t>
      </w:r>
    </w:p>
    <w:p>
      <w:r>
        <w:rPr>
          <w:b/>
        </w:rPr>
        <w:t>E. 1</w:t>
      </w:r>
    </w:p>
    <w:p>
      <w:r>
        <w:t>A. wird schuldig gesprochen der Hinderung einer Amtshandlung gemäss Art. 286 StGB.</w:t>
      </w:r>
    </w:p>
    <w:p>
      <w:r>
        <w:rPr>
          <w:b/>
        </w:rPr>
        <w:t>E. 2</w:t>
      </w:r>
    </w:p>
    <w:p>
      <w:r>
        <w:t>A. wird bestraft mit einer Geldstrafe von 10 Tagessätzen zu je Fr. 30.--, bedingt voll- ziehbar bei einer Probezeit von 2 Jahren.</w:t>
      </w:r>
    </w:p>
    <w:p>
      <w:r>
        <w:rPr>
          <w:b/>
        </w:rPr>
        <w:t>E. 3</w:t>
      </w:r>
    </w:p>
    <w:p>
      <w:r>
        <w:t>Die Verfahrenskosten von Fr. 1’200.-- (Gebühr Bundesanwaltschaft Fr. 500.--; Ge- richtsgebühr: Fr. 700.--) werden A. auferlegt. Wird seitens von A. keine schriftliche Urteilsbegründung verlangt, so reduziert sich die Gerichtsgebühr um die Hälfte.</w:t>
      </w:r>
    </w:p>
    <w:p>
      <w:r>
        <w:rPr>
          <w:b/>
        </w:rPr>
        <w:t>E. 4</w:t>
      </w:r>
    </w:p>
    <w:p>
      <w:r>
        <w:t>A. wird keine Entschädigung zugesprochen. Dieses Urteil wird in der Hauptverhandlung eröffnet und durch den Einzelrichter mündlich begründet. A. wird das Urteilsdispositiv ausgehändigt; den nicht anwesenden Parteien wird es schriftlich zugestellt. Im Namen der Strafkammer des Bundesstrafgerichts</w:t>
      </w:r>
    </w:p>
    <w:p>
      <w:r>
        <w:t>Der Einzelrichter Der Gerichtsschreiber</w:t>
      </w:r>
    </w:p>
    <w:p>
      <w:r>
        <w:t>Nach Eintritt der Rechtskraft mitzuteilen an: − Bundesanwaltschaft, Urteilsvollzug</w:t>
      </w:r>
    </w:p>
    <w:p>
      <w:r>
        <w:t>- 3 - SK.2024.44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7.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