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SK.2024.42 vom 18. Dezember 2024</w:t>
      </w:r>
    </w:p>
    <w:p>
      <w:r>
        <w:t>Bundesstrafgericht, 2024-12-18, FR</w:t>
      </w:r>
    </w:p>
    <w:p>
      <w:r>
        <w:rPr>
          <w:b/>
        </w:rPr>
        <w:t xml:space="preserve">Quelle: </w:t>
      </w:r>
      <w:r>
        <w:t>https://mcp.opencaselaw.ch/entscheid/bstger_SK.2024.42</w:t>
      </w:r>
    </w:p>
    <w:p>
      <w:r>
        <w:t>FR: TPF SK.2024.42 du 18 décembre 2024</w:t>
      </w:r>
    </w:p>
    <w:p>
      <w:r>
        <w:t>IT: TPF SK.2024.42 del 18 dicembre 2024</w:t>
      </w:r>
    </w:p>
    <w:p>
      <w:pPr>
        <w:pStyle w:val="Heading2"/>
      </w:pPr>
      <w:r>
        <w:t>Regeste</w:t>
      </w:r>
    </w:p>
    <w:p>
      <w:r>
        <w:t>Renvoi de la Cour des plaintes (BB.2024.65) Violation de l'obligation de communiquer (art. 37 LBA) Classement de la procédure (art. 78 DPA)</w:t>
      </w:r>
    </w:p>
    <w:p>
      <w:pPr>
        <w:pStyle w:val="Heading2"/>
      </w:pPr>
      <w:r>
        <w:t>Erwägungen</w:t>
      </w:r>
    </w:p>
    <w:p>
      <w:r>
        <w:rPr>
          <w:b/>
        </w:rPr>
        <w:t>E. 1</w:t>
      </w:r>
    </w:p>
    <w:p>
      <w:r>
        <w:t>Il est pris acte de la révocation du prononcé pénal du 6 décembre 2022.</w:t>
      </w:r>
    </w:p>
    <w:p>
      <w:r>
        <w:rPr>
          <w:b/>
        </w:rPr>
        <w:t>E. 2</w:t>
      </w:r>
    </w:p>
    <w:p>
      <w:r>
        <w:t>La procédure judiciaire est classée et la cause SK.2024.42 est rayée du rôle.</w:t>
      </w:r>
    </w:p>
    <w:p>
      <w:r>
        <w:rPr>
          <w:b/>
        </w:rPr>
        <w:t>E. 3</w:t>
      </w:r>
    </w:p>
    <w:p>
      <w:r>
        <w:t>La cause est renvoyée au Département fédéral des finances pour classement de la procédure administrative et décision sur les frais et dépens de la procédure d’enquête.</w:t>
      </w:r>
    </w:p>
    <w:p>
      <w:r>
        <w:rPr>
          <w:b/>
        </w:rPr>
        <w:t>E. 4</w:t>
      </w:r>
    </w:p>
    <w:p>
      <w:r>
        <w:t>Les frais de procédure, par CHF 200.-, sont mis à la charge du Département fédéral des finances.</w:t>
      </w:r>
    </w:p>
    <w:p>
      <w:r>
        <w:rPr>
          <w:b/>
        </w:rPr>
        <w:t>E. 5</w:t>
      </w:r>
    </w:p>
    <w:p>
      <w:r>
        <w:t>Il n’est alloué aucune indemnité à A. Au nom de la Cour des affaires pénales du Tribunal pénal fédéral</w:t>
      </w:r>
    </w:p>
    <w:p>
      <w:r>
        <w:t>Le juge unique La greffière</w:t>
      </w:r>
    </w:p>
    <w:p>
      <w:r>
        <w:t>Distribution (par acte judiciaire) à: − Ministère public de la Confédération, Monsieur Stefan Tränkle, responsable du Service juridique − Département fédéral des finances, Secrétariat général DFF, Service juridique, Monsieur Christian Heierli, chef du Service de droit pénal − Maîtres Andrew Garbarski et Adam Zaki</w:t>
      </w:r>
    </w:p>
    <w:p>
      <w:r>
        <w:t>Après son entrée en force, la décision sera communiquée à: − Ministère public de la Confédération, Exécution des jugements</w:t>
      </w:r>
    </w:p>
    <w:p>
      <w:r>
        <w:t>- 6 - SK.2024.42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18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