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SK.2024.19 vom 27. März 2024</w:t>
      </w:r>
    </w:p>
    <w:p>
      <w:r>
        <w:t>Bundesstrafgericht, 2024-03-27, DE</w:t>
      </w:r>
    </w:p>
    <w:p>
      <w:r>
        <w:rPr>
          <w:b/>
        </w:rPr>
        <w:t xml:space="preserve">Quelle: </w:t>
      </w:r>
      <w:r>
        <w:t>https://mcp.opencaselaw.ch/entscheid/bstger_SK.2024.19</w:t>
      </w:r>
    </w:p>
    <w:p>
      <w:r>
        <w:t>FR: TPF SK.2024.19 du 27 mars 2024</w:t>
      </w:r>
    </w:p>
    <w:p>
      <w:r>
        <w:t>IT: TPF SK.2024.19 del 27 marzo 2024</w:t>
      </w:r>
    </w:p>
    <w:p>
      <w:pPr>
        <w:pStyle w:val="Heading2"/>
      </w:pPr>
      <w:r>
        <w:t>Regeste</w:t>
      </w:r>
    </w:p>
    <w:p>
      <w:r>
        <w:t>Rückzug der Einsprache (Art. 356 Abs. 3 StPO)</w:t>
      </w:r>
    </w:p>
    <w:p>
      <w:pPr>
        <w:pStyle w:val="Heading2"/>
      </w:pPr>
      <w:r>
        <w:t>Volltext</w:t>
      </w:r>
    </w:p>
    <w:p>
      <w:r>
        <w:t>Verfügung vom 27. März 2024 Strafkammer Besetzung</w:t>
      </w:r>
    </w:p>
    <w:p>
      <w:r>
        <w:t>Bundesstrafrichterin Joséphine Contu Albrizio, Einzelrichterin Gerichtsschreiber Tornike Keshelava Parteien</w:t>
      </w:r>
    </w:p>
    <w:p>
      <w:r>
        <w:t>BUNDESANWALTSCHAFT, vertreten durch Staatsan- wältin des Bundes Simone Meyer-Burger,</w:t>
      </w:r>
    </w:p>
    <w:p>
      <w:r>
        <w:t>und</w:t>
      </w:r>
    </w:p>
    <w:p>
      <w:r>
        <w:t>als Privatklägerschaft:</w:t>
      </w:r>
    </w:p>
    <w:p>
      <w:r>
        <w:t>B., vertreten durch Fortuna Rechtsschutzversicherung, gegen</w:t>
      </w:r>
    </w:p>
    <w:p>
      <w:r>
        <w:t>A., erbeten verteidigt durch Rechtsanwältin Séverine Ha- ferl, Gegenstand</w:t>
      </w:r>
    </w:p>
    <w:p>
      <w:r>
        <w:t>Rückzug der Einsprache B u n d e s s t r a f g e r i c h t T r i b u n a l p é n a l f é d é r a l T r i b u n a l e p e n a l e f e d e r a l e T r i b u n a l p e n a l f e d e r a l</w:t>
      </w:r>
    </w:p>
    <w:p>
      <w:r>
        <w:t>Geschäftsnummer: SK.2024.19</w:t>
      </w:r>
    </w:p>
    <w:p>
      <w:r>
        <w:t>- 2 - SK.2024.19 Die Einzelrichter erwägt, dass: – die Bundesanwaltschaft mit Strafbefehl mit Vereinigungsverfügung vom 1. Novem- ber 2023 A. wegen Gewalt und Drohung gegen Behörden und Beamte (Art. 285 Ziff. 1 StGB) und Beschimpfung (Art. 177 Abs. 1 StGB) zu einer Geldstrafe von 40 Tages- sätzen zu je Fr. 80.–, bedingt vollziehbar bei einer Probezeit von zwei Jahren, sowie zu einer (Verbindungs-)Busse von Fr. 400.–, bei schuldhaftem Nichtbezahlen dersel- ben ersatzweise zu einer Freiheitsstrafe von 5 Tagen, verurteilte und ihm die Verfah- renskosten von Fr. 500.– auferlegte; – A. am 10. November 2023 Einsprache gegen den Strafbefehl erhob; – die Bundesanwaltschaft am Strafbefehl (materiell) festhielt (Art. 355 Abs. 3 lit. a StPO), wobei sie am 18. März 2024 einen sachverhaltsmässig berichtigten Strafbe- fehl zum Strafbefehl mit Vereinigungsverfügung vom 1. November 2023 erliess; – der Strafbefehl bezüglich des Schuldspruchs, der Sanktionen und der Kostenrege- lung identisch blieb; – bei der gegebenen Sachlage sich die Einsprache von A. vom 10. November 2023 auf den berichtigten Strafbefehl vom 18. März 2024 erstreckt (vgl. BGE 145 IV 438 E. 1.5.4); – die Bundesanwaltschaft den Strafbefehl vom 18. März 2024 gleichentags als Ankla- geschrift dem hiesigen Gericht zwecks Durchführung eines Hauptverfahrens über- wies (Art. 356 Abs. 1 StPO); – die Einsprache bis zum Schluss der Parteivorträge zurückgezogen werden kann (Art. 356 Abs. 3 StPO) und diesfalls der Strafbefehl zum Urteil wird und in Rechtskraft erwächst (DAPHINOFF, Basler Kommentar, 3. Aufl. 2023, Art. 356 StPO N. 24; GILLIÉRON/KILLIAS, Commentaire romand, Code de procédure pénale suisse, 2. Aufl. 2019, Art. 356 N. 13); – A. mit Schreiben seiner Verteidigerin vom 26. März 2024 die Einsprache innert des genannten Zeitraums zurückzog; – der Rückzug unwiderruflich ist (DAPHINOFF, a.a.O., Art. 356 StPO N. 24; GILLIÉRON/KILLIAS, a.a.O., Art. 356 N. 13); – der Strafbefehl der Bundesanwaltschaft vom 18. März 2024 somit zum Urteil wird und in Rechtskraft erwächst;</w:t>
      </w:r>
    </w:p>
    <w:p>
      <w:r>
        <w:t>- 3 - SK.2024.19 – das Verfahren SK.2024.19 infolgedessen als gegenstandslos abzuschreiben ist; – sich die Kosten des gerichtlichen Verfahrens und deren Verlegung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 – wenn der Einspracherückzug nach Überweisung der Akten an das erstinstanzliche Gericht erfolgt (Art. 356 Abs. 1 StPO), die Rückzug erklärende Person die Kosten zu tragen hat (statt vieler: Verfügung des Bundesstrafgerichts SK.2023.45 vom 18. De- zember 2023; DAPHINOFF, Das Strafbefehlsverfahren in der Schweizerischen Straf- prozessordnung, Diss. 2012, S. 626; GILLÉRON/KILLIAS, a.a.O., Art. 356 N. 14); – A. demnach – neben den ihm im (nun rechtskräftigen) Strafbefehl auferlegten Kosten des Strafbefehlsverfahrens – die Gerichtskosten zu tragen hat; – der Rückzug der Einsprache wenige Tage nach der Eröffnung des Gerichtsverfahrens erfolgte und der Aufwand des Gerichts minim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SK.2024.19 Die Einzelrichterin verfügt: 1. Das Verfahren SK.2024.19 wird infolge Rückzugs der Einsprache als gegenstands- los abgeschrieben. 2. Die Verfahrenskosten von Fr. 200.– werden A. auferlegt. 3. Diese Verfügung wird den Parteien schriftlich eröffnet. Im Namen der Strafkammer des Bundesstrafgerichts</w:t>
      </w:r>
    </w:p>
    <w:p>
      <w:r>
        <w:t>Die Einzelrichterin Der Gerichtsschreiber</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28.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