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SK.2024.10 vom 4. September 2024</w:t>
      </w:r>
    </w:p>
    <w:p>
      <w:r>
        <w:t>Bundesstrafgericht, 2024-09-04, DE</w:t>
      </w:r>
    </w:p>
    <w:p>
      <w:r>
        <w:rPr>
          <w:b/>
        </w:rPr>
        <w:t xml:space="preserve">Quelle: </w:t>
      </w:r>
      <w:r>
        <w:t>https://mcp.opencaselaw.ch/entscheid/bstger_SK.2024.10</w:t>
      </w:r>
    </w:p>
    <w:p>
      <w:r>
        <w:t>FR: TPF SK.2024.10 du 4 septembre 2024</w:t>
      </w:r>
    </w:p>
    <w:p>
      <w:r>
        <w:t>IT: TPF SK.2024.10 del 4 settembre 2024</w:t>
      </w:r>
    </w:p>
    <w:p>
      <w:pPr>
        <w:pStyle w:val="Heading2"/>
      </w:pPr>
      <w:r>
        <w:t>Regeste</w:t>
      </w:r>
    </w:p>
    <w:p>
      <w:r>
        <w:t>Hinderung einer Amtshandlung (Art. 286 StGB)</w:t>
      </w:r>
    </w:p>
    <w:p>
      <w:pPr>
        <w:pStyle w:val="Heading2"/>
      </w:pPr>
      <w:r>
        <w:t>Erwägungen</w:t>
      </w:r>
    </w:p>
    <w:p>
      <w:r>
        <w:rPr>
          <w:b/>
        </w:rPr>
        <w:t>E. 1</w:t>
      </w:r>
    </w:p>
    <w:p>
      <w:r>
        <w:t>A. wird freigesprochen.</w:t>
      </w:r>
    </w:p>
    <w:p>
      <w:r>
        <w:rPr>
          <w:b/>
        </w:rPr>
        <w:t>E. 2</w:t>
      </w:r>
    </w:p>
    <w:p>
      <w:r>
        <w:t>Die Kosten des Verfahrens trägt die Eidgenossenschaft.</w:t>
      </w:r>
    </w:p>
    <w:p>
      <w:r>
        <w:rPr>
          <w:b/>
        </w:rPr>
        <w:t>E. 3</w:t>
      </w:r>
    </w:p>
    <w:p>
      <w:r>
        <w:t>Rechtsanwalt Thomas Rebsamen wird für die Verteidigung von A. von der Eidgenos- senschaft mit Fr. 5'681.– entschädigt. Dieses Urteil wird in der Hauptverhandlung eröffnet und durch den Einzelrichter mündlich begründet. Der anwesenden Partei wird das Urteilsdispositiv ausgehändigt. Den nicht an- wesenden Parteien wird es schriftlich zugestellt.</w:t>
      </w:r>
    </w:p>
    <w:p>
      <w:r>
        <w:t>Im Namen der Strafkammer des Bundesstrafgerichts</w:t>
      </w:r>
    </w:p>
    <w:p>
      <w:r>
        <w:t>Der Einzelrichter</w:t>
      </w:r>
    </w:p>
    <w:p>
      <w:r>
        <w:t>Der Gerichtsschreiber</w:t>
      </w:r>
    </w:p>
    <w:p>
      <w:r>
        <w:t>Nach Eintritt der Rechtskraft mitzuteilen an: - Bundesanwaltschaft (als Vollzugsbehörde)</w:t>
      </w:r>
    </w:p>
    <w:p>
      <w:r>
        <w:t>- 3 - SK.2024.10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Rechtsmittel der Wahlverteidigung Gegen den Entschädigungsentscheid kann die Wahlverteidigung das Rechtsmittel ergreifen, das gegen den Endentscheid zulässig ist (Art. 429 Abs. 3 StPO).</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Auf eine schriftliche Begründung des Urteils wurde gemäss Art. 82 Abs. 1 StPO verzichtet.</w:t>
      </w:r>
    </w:p>
    <w:p>
      <w:r>
        <w:t>Versand: 4.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