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SK.2023.30 vom 14. November 2023</w:t>
      </w:r>
    </w:p>
    <w:p>
      <w:r>
        <w:t>Bundesstrafgericht, 2023-11-14, DE</w:t>
      </w:r>
    </w:p>
    <w:p>
      <w:r>
        <w:rPr>
          <w:b/>
        </w:rPr>
        <w:t xml:space="preserve">Quelle: </w:t>
      </w:r>
      <w:r>
        <w:t>https://mcp.opencaselaw.ch/entscheid/bstger_SK.2023.30</w:t>
      </w:r>
    </w:p>
    <w:p>
      <w:r>
        <w:t>FR: TPF SK.2023.30 du 14 novembre 2023</w:t>
      </w:r>
    </w:p>
    <w:p>
      <w:r>
        <w:t>IT: TPF SK.2023.30 del 14 novembre 2023</w:t>
      </w:r>
    </w:p>
    <w:p>
      <w:pPr>
        <w:pStyle w:val="Heading2"/>
      </w:pPr>
      <w:r>
        <w:t>Regeste</w:t>
      </w:r>
    </w:p>
    <w:p>
      <w:r>
        <w:t>Gefährdung durch Sprengstoffe und giftige Gase in verbrecherischer Absicht (Art. 224 Abs. 1 StGB), einfache Körperverletzung (Art. 123 Ziffer 1 StGB), Beschimpfung (Art. 177 Abs. 1 StGB), Drohung (Art. 180 Abs. 1 StGB) und Widerhandlung gegen das Waffengesetz (Art. 33 Abs. 1 Bst. a WG)</w:t>
      </w:r>
    </w:p>
    <w:p>
      <w:pPr>
        <w:pStyle w:val="Heading2"/>
      </w:pPr>
      <w:r>
        <w:t>Erwägungen</w:t>
      </w:r>
    </w:p>
    <w:p>
      <w:r>
        <w:rPr>
          <w:b/>
        </w:rPr>
        <w:t>E. 1</w:t>
      </w:r>
    </w:p>
    <w:p>
      <w:r>
        <w:t>B.</w:t>
      </w:r>
    </w:p>
    <w:p>
      <w:r>
        <w:rPr>
          <w:b/>
        </w:rPr>
        <w:t>E. 2</w:t>
      </w:r>
    </w:p>
    <w:p>
      <w:r>
        <w:t>Jahren. Die ausgestandene Polizeihaft von 1 Tag wird auf die Strafe angerechnet.</w:t>
      </w:r>
    </w:p>
    <w:p>
      <w:r>
        <w:rPr>
          <w:b/>
        </w:rPr>
        <w:t>E. 3</w:t>
      </w:r>
    </w:p>
    <w:p>
      <w:r>
        <w:t>Die nachgenannten beschlagnahmten Gegenstände und Aufzeichnungen werden nach Eintritt der Rechtskraft des Urteils:</w:t>
      </w:r>
    </w:p>
    <w:p>
      <w:r>
        <w:rPr>
          <w:b/>
        </w:rPr>
        <w:t>E. 3.1</w:t>
      </w:r>
    </w:p>
    <w:p>
      <w:r>
        <w:t>zur Vernichtung eingezogen (Art. 267 Abs. 3 StPO i.V.m. Art. 69 StGB und 31 WG): − Ass.-ID 33887 (A015’719'478), 8 Stück Mega Thunder in 2 Originalverpackungen − Ass.-ID 33888 (A015’719’489), Pfefferspray Defenol CS KO Super − Ass.-ID 33889 (A015’719'843), Pfefferspray CS 3000 Super Defense</w:t>
      </w:r>
    </w:p>
    <w:p>
      <w:r>
        <w:rPr>
          <w:b/>
        </w:rPr>
        <w:t>E. 3.2</w:t>
      </w:r>
    </w:p>
    <w:p>
      <w:r>
        <w:t>eingezogen und bei den Akten belassen (Art. 267 Abs. 3 StPO): − Pag. 10-001-0009, DVD mit Videoüberwachungssequenzen des Vorfalls vom 1. Januar 2022 − Pag. 10-002-0019, USB-Stick mit Videoüberwachungssequenzen des Vorfalls vom 1. Januar 2022</w:t>
      </w:r>
    </w:p>
    <w:p>
      <w:r>
        <w:rPr>
          <w:b/>
        </w:rPr>
        <w:t>E. 4</w:t>
      </w:r>
    </w:p>
    <w:p>
      <w:r>
        <w:t>Die Verfahrenskosten von Fr. 7'400.-- (inkl. Gerichtsgebühr von Fr. 1'000.-- und Auslagen des Gerichts von Fr. 20.--) werden A. auferlegt.</w:t>
      </w:r>
    </w:p>
    <w:p>
      <w:r>
        <w:t>- 3 - SK.2023.30</w:t>
      </w:r>
    </w:p>
    <w:p>
      <w:r>
        <w:rPr>
          <w:b/>
        </w:rPr>
        <w:t>E. 5</w:t>
      </w:r>
    </w:p>
    <w:p>
      <w:r>
        <w:t>Rechtsanwalt Marino Di Rocco wird für die amtliche Verteidigung von A. durch die Eidgenossenschaft mit Fr. 10'647.40 (inkl. MWST) entschädigt. A. hat der Eidgenossenschaft für die Entschädigung seiner amtlichen Verteidigung Ersatz zu leisten, sobald es seine wirtschaftlichen Verhältnisse erlauben. II.</w:t>
      </w:r>
    </w:p>
    <w:p>
      <w:r>
        <w:t>Dieses Urteil wird in der Hauptverhandlung eröffnet und durch den Einzelrichter mündlich begründet. Den anwesenden Parteien wird das Urteilsdispositiv ausgehändigt; der nicht anwesenden Privatklägerschaft wird es schriftlich zugestellt.</w:t>
      </w:r>
    </w:p>
    <w:p>
      <w:r>
        <w:t>Im Namen der Strafkammer des Bundesstrafgerichts</w:t>
      </w:r>
    </w:p>
    <w:p>
      <w:r>
        <w:t>Der Einzelrichter Der Gerichtsschreiber</w:t>
      </w:r>
    </w:p>
    <w:p>
      <w:r>
        <w:t>Mitzuteilen an (vollständig): − Bundesamt für Polizei (vollständig; gestützt auf Art. 68 Abs. 1 StBOG und Art. 20 des Bundesgesetzes über Vorläuferstoffe für explosionsfähige Stoffe vom 25. Septem- ber 2020 [Vorläufergesetz, VSG; SR 941.42]) − Bundesamt für Polizei, Zentralstelle Waffen (vollständig; gestützt auf Art. 3 Ziff. 13 der Verordnung über die Mitteilung kantonaler Strafentscheide vom 10. November 2004 [SR 312.3] und Art. 31 Abs. 4 des Bundesgesetzes über Waffen, Waffenzubehör und Munition vom 20. Juni 1997 [Waffengesetz, WG; SR 514.54]) Nach Eintritt der Rechtskraft mitzuteilen an (vollständig): − Bundesanwaltschaft als Vollzugsbehörde</w:t>
      </w:r>
    </w:p>
    <w:p>
      <w:r>
        <w:t>- 4 - SK.2023.30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w:t>
      </w:r>
    </w:p>
    <w:p>
      <w:r>
        <w:t>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gegen ein Urteil im abgekürzten Verfahren kann eine Partei nur geltend machen, sie habe der Anklageschrift nicht zugestimmt oder das Urteil entspreche der Anklageschrift nicht (Art. 362 Abs. 5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