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SK.2023.29 vom 19. März 2024</w:t>
      </w:r>
    </w:p>
    <w:p>
      <w:r>
        <w:t>Bundesstrafgericht, 2024-03-19, FR</w:t>
      </w:r>
    </w:p>
    <w:p>
      <w:r>
        <w:rPr>
          <w:b/>
        </w:rPr>
        <w:t xml:space="preserve">Quelle: </w:t>
      </w:r>
      <w:r>
        <w:t>https://mcp.opencaselaw.ch/entscheid/bstger_SK.2023.29</w:t>
      </w:r>
    </w:p>
    <w:p>
      <w:r>
        <w:t>FR: TPF SK.2023.29 du 19 mars 2024</w:t>
      </w:r>
    </w:p>
    <w:p>
      <w:r>
        <w:t>IT: TPF SK.2023.29 del 19 marzo 2024</w:t>
      </w:r>
    </w:p>
    <w:p>
      <w:pPr>
        <w:pStyle w:val="Heading2"/>
      </w:pPr>
      <w:r>
        <w:t>Regeste</w:t>
      </w:r>
    </w:p>
    <w:p>
      <w:r>
        <w:t>Escroquerie par métier (art. 146 al. 1 et 2 CP), gestion déloyale aggravée (art. 158 ch. 1 CP), abus de confiance aggravé (art. 138 ch. 1 et 2 CP), blanchiment d'argent aggravé (art. 305bis al. 1 et 2 CP), faux dans les titres (art. 251 CP), banqueroute frauduleuse (art. 163 ch. 1 CP), obtention frauduleuse d'une constatation fausse (art. 253 CP) et violation de l'obligation de communiquer (art. 37 LBA) Radiation du rôle (cause devenue sans objet)</w:t>
      </w:r>
    </w:p>
    <w:p>
      <w:pPr>
        <w:pStyle w:val="Heading2"/>
      </w:pPr>
      <w:r>
        <w:t>Erwägungen</w:t>
      </w:r>
    </w:p>
    <w:p>
      <w:r>
        <w:rPr>
          <w:b/>
        </w:rPr>
        <w:t>E. 8</w:t>
      </w:r>
    </w:p>
    <w:p>
      <w:r>
        <w:t>août 2023 (CA.2022.18) de la Cour d’appel et renvoyé la cause à cette instance, afin qu’elle poursuive la conduite des procédures d’appel contre le jugement du 17 juin 2022 de la Cour des affaires pénales;</w:t>
      </w:r>
    </w:p>
    <w:p>
      <w:r>
        <w:t>− il en résulte que la compétence matérielle pour traiter de la présente cause et des procédures incidentes encore pendantes appartient désormais à la Cour d’appel du Tribunal pénal fédéral, qui est de nouveau investie de la direction de la procédure depuis le 15 mars 2024, date de la communication de l’arrêt du TF du 26 février 2024 précité;</w:t>
      </w:r>
    </w:p>
    <w:p>
      <w:r>
        <w:t>− par conséquent, la cause SK.2023.29 et les requêtes incidentes des 5 et 15 janvier 2024 de la société 6 AG, du 18 janvier 2024 de la société 16 AG et du 10 février 2024 de la société 20 AG, sont transmises à la Cour d’appel du Tribunal pénal fédéral, comme objet de sa compétence;</w:t>
      </w:r>
    </w:p>
    <w:p>
      <w:r>
        <w:t>− la procédure SK.2023.29, devenue sans objet, est rayée du rôle;</w:t>
      </w:r>
    </w:p>
    <w:p>
      <w:r>
        <w:t>− il n’est pas perçu de frais pour la présente décision.</w:t>
      </w:r>
    </w:p>
    <w:p>
      <w:r>
        <w:t>- 6 - SK.2023.29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