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SK.2022.7 vom 4. März 2022</w:t>
      </w:r>
    </w:p>
    <w:p>
      <w:r>
        <w:t>Bundesstrafgericht, 2022-03-04, DE</w:t>
      </w:r>
    </w:p>
    <w:p>
      <w:r>
        <w:rPr>
          <w:b/>
        </w:rPr>
        <w:t xml:space="preserve">Quelle: </w:t>
      </w:r>
      <w:r>
        <w:t>https://mcp.opencaselaw.ch/entscheid/bstger_SK.2022.7</w:t>
      </w:r>
    </w:p>
    <w:p>
      <w:r>
        <w:t>FR: TPF SK.2022.7 du 4 mars 2022</w:t>
      </w:r>
    </w:p>
    <w:p>
      <w:r>
        <w:t>IT: TPF SK.2022.7 del 4 marzo 2022</w:t>
      </w:r>
    </w:p>
    <w:p>
      <w:pPr>
        <w:pStyle w:val="Heading2"/>
      </w:pPr>
      <w:r>
        <w:t>Regeste</w:t>
      </w:r>
    </w:p>
    <w:p>
      <w:r>
        <w:t>Gewalt und Drohung gegen Behörden und Beamte (Art. 285 StGB), mehrfacher und teilweise versuchter Diebstahl (Art. 285 StGB), geringfügiger betrügerischer Missbrauch einer Datenverarbeitungsanlage (Art. 147 StGB i.V.m. Art. 172ter Abs. 1 StGB), mehrfacher Hausfriedensbruch (Art. 186 StGB), Sachbeschädigung (Art. 144 StGB) und Widerhandlung gegen das AIG (Art. 115 AIG)</w:t>
      </w:r>
    </w:p>
    <w:p>
      <w:pPr>
        <w:pStyle w:val="Heading2"/>
      </w:pPr>
      <w:r>
        <w:t>Erwägungen</w:t>
      </w:r>
    </w:p>
    <w:p>
      <w:r>
        <w:rPr>
          <w:b/>
        </w:rPr>
        <w:t>E. 1</w:t>
      </w:r>
    </w:p>
    <w:p>
      <w:r>
        <w:t>B. AG</w:t>
      </w:r>
    </w:p>
    <w:p>
      <w:r>
        <w:rPr>
          <w:b/>
        </w:rPr>
        <w:t>E. 2</w:t>
      </w:r>
    </w:p>
    <w:p>
      <w:r>
        <w:t>A. wird in Zusatz zum Strafbefehl der Staatsanwaltschaft Winterthur/Unterland, Zweigstelle Flughafen vom 6. Februar 2021 sowie zum Strafbefehl der Staatsan- waltschaft Zürich-Limmat vom 23. April 2021 mit einer Freiheitsstrafe von 8 Monaten sowie einer Übertretungsbusse von Fr. 100.--, bei schuldhaftem Nichtbezahlen er- satzweise mit einer Freiheitsstrafe von 1 Tag, bestraft. Die ausgestandene Haft von 8 Tagen wird auf den Vollzug der Strafe angerechnet.</w:t>
      </w:r>
    </w:p>
    <w:p>
      <w:r>
        <w:rPr>
          <w:b/>
        </w:rPr>
        <w:t>E. 3</w:t>
      </w:r>
    </w:p>
    <w:p>
      <w:r>
        <w:t>A. wird für die Dauer von 5 Jahren des Landes verwiesen.</w:t>
      </w:r>
    </w:p>
    <w:p>
      <w:r>
        <w:rPr>
          <w:b/>
        </w:rPr>
        <w:t>E. 4</w:t>
      </w:r>
    </w:p>
    <w:p>
      <w:r>
        <w:t>Der Kanton Zürich wird als Vollzugskanton bestimmt.</w:t>
      </w:r>
    </w:p>
    <w:p>
      <w:r>
        <w:rPr>
          <w:b/>
        </w:rPr>
        <w:t>E. 5</w:t>
      </w:r>
    </w:p>
    <w:p>
      <w:r>
        <w:t>Es wird festgestellt, dass die beschlagnahmten Gegenstände, eine Gartenschere „Gardena“ (Asservat-Nr. 1) sowie ein Metallhaken (Asservat-Nr. 2), bereits vernich- tet wurden.</w:t>
      </w:r>
    </w:p>
    <w:p>
      <w:r>
        <w:rPr>
          <w:b/>
        </w:rPr>
        <w:t>E. 6.1</w:t>
      </w:r>
    </w:p>
    <w:p>
      <w:r>
        <w:t>A. wird verpflichtet, der B. AG Fr. 129.90 zu bezahlen.</w:t>
      </w:r>
    </w:p>
    <w:p>
      <w:r>
        <w:rPr>
          <w:b/>
        </w:rPr>
        <w:t>E. 6.2</w:t>
      </w:r>
    </w:p>
    <w:p>
      <w:r>
        <w:t>Es wird Vormerk genommen, dass A. die Zivilforderung von C. in der Höhe von Fr. 250.-- anerkennt.</w:t>
      </w:r>
    </w:p>
    <w:p>
      <w:r>
        <w:t>- 3 - SK.2022.7</w:t>
      </w:r>
    </w:p>
    <w:p>
      <w:r>
        <w:rPr>
          <w:b/>
        </w:rPr>
        <w:t>E. 7</w:t>
      </w:r>
    </w:p>
    <w:p>
      <w:r>
        <w:t>Die Verfahrenskosten von Fr. 6'111.65 (Vorverfahren: Gebühr Fr. 3'000.--, Auslagen Fr. 1'423.15; Gerichtsgebühr Fr. 1’500.--, Auslagen: Fr. 188.50) werden A. im redu- zierten Umfang von Fr. 3'000.-- auferlegt. Die übrigen Verfahrenskosten trägt die Eidgenossenschaft. Wird seitens A. keine schriftliche Urteilsbegründung verlangt, so reduziert sich die Gerichtsgebühr um die Hälfte.</w:t>
      </w:r>
    </w:p>
    <w:p>
      <w:r>
        <w:rPr>
          <w:b/>
        </w:rPr>
        <w:t>E. 8</w:t>
      </w:r>
    </w:p>
    <w:p>
      <w:r>
        <w:t>Rechtsanwalt Roland Graf wird für die amtliche Verteidigung von A. mit Fr. 11'925.65 (inkl. MWST) durch die Eidgenossenschaft entschädigt. A. wird verpflichtet, der Eidgenossenschaft hiervon den Betrag von Fr. 5‘000.-- zu- rückzubezahlen, sobald es seine wirtschaftlichen Verhältnisse erlauben. Dieses Urteil wird in der Hauptverhandlung eröffnet und durch den Einzelrichter mündlich begründet. Den anwesenden Parteien wird das Urteilsdispositiv ausgehändigt; den nicht anwesenden Parteien wird es schriftlich zugestellt. Im Namen der Strafkammer des Bundesstrafgerichts</w:t>
      </w:r>
    </w:p>
    <w:p>
      <w:r>
        <w:t>Der Einzelrichter Die Gerichtsschreiberin</w:t>
      </w:r>
    </w:p>
    <w:p>
      <w:r>
        <w:t>Eine vollständige schriftliche Ausfertigung wird ausgehändigt an:  Bundesanwaltschaft  Rechtsanwalt Roland Graf (substituiert durch Rechtsanwalt Stefano Rossi) Eine vollständige schriftliche Ausfertigung wird zugestellt an:  B. AG (Privatklägerschaft)  C. (Privatklägerschaft)  Justizvollzugsanstalt D. Nach Eintritt der Rechtskraft mitzuteilen an:  Bundesanwaltschaft als Vollzugsbehörde (vollständig)  Migrationsamt des Kantons Zürich (vollständig; gestützt auf Art. 68 Abs. 1 i.V.m. Art. 74 Abs. 1 lit. gbis StBOG)</w:t>
      </w:r>
    </w:p>
    <w:p>
      <w:r>
        <w:t>- 4 - SK.2022.7 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4.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