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SK.2022.55 vom 30. Mai 2023</w:t>
      </w:r>
    </w:p>
    <w:p>
      <w:r>
        <w:t>Bundesstrafgericht, 2023-05-30, DE</w:t>
      </w:r>
    </w:p>
    <w:p>
      <w:r>
        <w:rPr>
          <w:b/>
        </w:rPr>
        <w:t xml:space="preserve">Quelle: </w:t>
      </w:r>
      <w:r>
        <w:t>https://mcp.opencaselaw.ch/entscheid/bstger_SK.2022.55</w:t>
      </w:r>
    </w:p>
    <w:p>
      <w:r>
        <w:t>FR: TPF SK.2022.55 du 30 mai 2023</w:t>
      </w:r>
    </w:p>
    <w:p>
      <w:r>
        <w:t>IT: TPF SK.2022.55 del 30 maggio 2023</w:t>
      </w:r>
    </w:p>
    <w:p>
      <w:pPr>
        <w:pStyle w:val="Heading2"/>
      </w:pPr>
      <w:r>
        <w:t>Regeste</w:t>
      </w:r>
    </w:p>
    <w:p>
      <w:r>
        <w:t>Widerhandlungen gegen Art. 2 Abs. 1 des Bundesgesetzes über das Verbot der Gruppierungen "Al-Qaïda" und "Islamischer Staat" sowie verwandter Organisationen, Gewaltdarstellungen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sei schuldig zu sprechen − der mehrfachen Widerhandlung gegen Art. 2 Abs. 1 des Bundesgesetzes über das Verbot der Gruppierungen «AI-Qaida» und «lslamischer Staat» so- wie verwandter Organisationen; − der mehrfachen Herstellung von Gewaltdarstellungen nach Art. 135 Abs. 1 StGB; − des Zugänglichmachens einer Gewaltdarstellung nach Art. 135 Abs. 1 StGB.</w:t>
      </w:r>
    </w:p>
    <w:p>
      <w:r>
        <w:rPr>
          <w:b/>
        </w:rPr>
        <w:t>E. 2</w:t>
      </w:r>
    </w:p>
    <w:p>
      <w:r>
        <w:t>A. sei zu einer Freiheitsstrafe von 48 Monaten zu verurteilen.</w:t>
      </w:r>
    </w:p>
    <w:p>
      <w:r>
        <w:rPr>
          <w:b/>
        </w:rPr>
        <w:t>E. 3</w:t>
      </w:r>
    </w:p>
    <w:p>
      <w:r>
        <w:t>Die ausgestandene Untersuchungshaft sei an die Freiheitsstrafe gemäss Ziff. 2 anzurechnen.</w:t>
      </w:r>
    </w:p>
    <w:p>
      <w:r>
        <w:rPr>
          <w:b/>
        </w:rPr>
        <w:t>E. 4</w:t>
      </w:r>
    </w:p>
    <w:p>
      <w:r>
        <w:t>A. sei für die Dauer von 10 Jahren des Landes zu verweisen (Art.66a Abs. 1 lit. l StGB).</w:t>
      </w:r>
    </w:p>
    <w:p>
      <w:r>
        <w:rPr>
          <w:b/>
        </w:rPr>
        <w:t>E. 5</w:t>
      </w:r>
    </w:p>
    <w:p>
      <w:r>
        <w:t>Für den Vollzug des Urteils sei der Kanton Schaffhausen als zuständig zu erklä- ren (Art. 74 Abs. 2 StBOG i.V.m. Art. 31 StPO).</w:t>
      </w:r>
    </w:p>
    <w:p>
      <w:r>
        <w:rPr>
          <w:b/>
        </w:rPr>
        <w:t>E. 6</w:t>
      </w:r>
    </w:p>
    <w:p>
      <w:r>
        <w:t>Die in der Anklageschrift vom 16. Dezember 2022 aufgeführten Asservate seien einzuziehen und zu vernichten (Art. 69 Abs. 1 und 135 Abs. 2 StGB).</w:t>
      </w:r>
    </w:p>
    <w:p>
      <w:r>
        <w:rPr>
          <w:b/>
        </w:rPr>
        <w:t>E. 7</w:t>
      </w:r>
    </w:p>
    <w:p>
      <w:r>
        <w:t>Die Kosten des Verfahrens (Fr. 44'259.-- für das Vorverfahren, zzgl. der Kosten der Hauptverhandlung) seien A. aufzuerlegen (Art. 426 Abs. 1 StPO).</w:t>
      </w:r>
    </w:p>
    <w:p>
      <w:r>
        <w:rPr>
          <w:b/>
        </w:rPr>
        <w:t>E. 8</w:t>
      </w:r>
    </w:p>
    <w:p>
      <w:r>
        <w:t>Die amtliche Verteidigung sei für ihre Aufwendungen in gesetzlicher Höhe zu ent- schädigen.</w:t>
      </w:r>
    </w:p>
    <w:p>
      <w:r>
        <w:rPr>
          <w:b/>
        </w:rPr>
        <w:t>E. 9</w:t>
      </w:r>
    </w:p>
    <w:p>
      <w:r>
        <w:t>A. sei zu verpflichten, dem Bund die Kosten der amtlichen Verteidigung in vollem Umfang zurückzuerstatten, sobald er dazu in der Lage ist (Art. 426 Abs. 1 i.V.m. Art. 135 Abs. 4 StPO).</w:t>
      </w:r>
    </w:p>
    <w:p>
      <w:r>
        <w:t>- 3 - SK.2022.55 Anträge der Verteidigung: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