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SK.2022.39 vom 3. Mai 2023</w:t>
      </w:r>
    </w:p>
    <w:p>
      <w:r>
        <w:t>Bundesstrafgericht, 2023-05-03, DE</w:t>
      </w:r>
    </w:p>
    <w:p>
      <w:r>
        <w:rPr>
          <w:b/>
        </w:rPr>
        <w:t xml:space="preserve">Quelle: </w:t>
      </w:r>
      <w:r>
        <w:t>https://mcp.opencaselaw.ch/entscheid/bstger_SK.2022.39</w:t>
      </w:r>
    </w:p>
    <w:p>
      <w:r>
        <w:t>FR: TPF SK.2022.39 du 3 mai 2023</w:t>
      </w:r>
    </w:p>
    <w:p>
      <w:r>
        <w:t>IT: TPF SK.2022.39 del 3 maggio 2023</w:t>
      </w:r>
    </w:p>
    <w:p>
      <w:pPr>
        <w:pStyle w:val="Heading2"/>
      </w:pPr>
      <w:r>
        <w:t>Regeste</w:t>
      </w:r>
    </w:p>
    <w:p>
      <w:r>
        <w:t>Urkundenfälschung (Art. 251 Ziff 1 Abs. 2 und 3 StGB) Erschleichung einer falschen Beurkundung (Art. 253 Abs. 1 StGB)</w:t>
      </w:r>
    </w:p>
    <w:p>
      <w:pPr>
        <w:pStyle w:val="Heading2"/>
      </w:pPr>
      <w:r>
        <w:t>Erwägungen</w:t>
      </w:r>
    </w:p>
    <w:p>
      <w:r>
        <w:rPr>
          <w:b/>
        </w:rPr>
        <w:t>E. 1</w:t>
      </w:r>
    </w:p>
    <w:p>
      <w:r>
        <w:t>A. wird schuldig gesprochen: − der mehrfachen Urkundenfälschung i.S.v. Art. 251 Ziff. 1 Abs. 2 StGB; − des Gebrauchs einer falschen Urkunde i.S.v. Art. 251 Ziff. 1 Abs. 3 StGB; − der mehrfachen Erschleichung einer falschen Beurkundung i.S.v. Art. 253 Abs. 1 StGB.</w:t>
      </w:r>
    </w:p>
    <w:p>
      <w:r>
        <w:rPr>
          <w:b/>
        </w:rPr>
        <w:t>E. 2</w:t>
      </w:r>
    </w:p>
    <w:p>
      <w:r>
        <w:t>A. wird bestraft mit einer Geldstrafe von 120 Tagessätzen à Fr. 150.--, bedingt vollziehbar bei einer Probezeit von 2 Jahren.</w:t>
      </w:r>
    </w:p>
    <w:p>
      <w:r>
        <w:rPr>
          <w:b/>
        </w:rPr>
        <w:t>E. 3</w:t>
      </w:r>
    </w:p>
    <w:p>
      <w:r>
        <w:t>Die Verfahrenskosten betragen Fr. 13'689.70 (Gebühr Bundesanwaltschaft Fr. 9'514.20; Gerichtsgebühr Fr. 4'000.--; Auslagen Fr. 175.50) und werden A. auferlegt. Wird seitens A. keine schriftliche Urteilsbegründung verlangt, so reduziert sich die Gerichtsgebühr um die Hälfte.</w:t>
      </w:r>
    </w:p>
    <w:p>
      <w:r>
        <w:rPr>
          <w:b/>
        </w:rPr>
        <w:t>E. 4</w:t>
      </w:r>
    </w:p>
    <w:p>
      <w:r>
        <w:t>Rechtsanwalt Gregor Navarini wird für die amtliche Verteidigung von A. durch die Eidgenossenschaft mit Fr. 21'003.05 (inkl. MWST) entschädigt. A. hat der Eidgenossenschaft für die Entschädigung seines amtlichen Verteidi- gers Ersatz zu leisten, sobald es seine wirtschaftlichen Verhältnisse erlauben. II.</w:t>
      </w:r>
    </w:p>
    <w:p>
      <w:r>
        <w:t>Dieses Urteil wird in der Hauptverhandlung eröffnet und durch den Einzelrichter mündlich begründet. Den Parteien wird das Urteilsdispositiv ausgehändigt. Im Namen der Strafkammer des Bundesstrafgerichts</w:t>
      </w:r>
    </w:p>
    <w:p>
      <w:r>
        <w:t>Der Einzelrichter Der Gerichtsschreiber</w:t>
      </w:r>
    </w:p>
    <w:p>
      <w:r>
        <w:t>- 3 - SK.2022.39 Nach Eintritt der Rechtskraft mitzuteilen an: − Bundesanwaltschaft als Vollzugsbehörde (vollständig) − Amt für Migration des Kantons U.</w:t>
      </w:r>
    </w:p>
    <w:p>
      <w:r>
        <w:t>- 4 - SK.2022.39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