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SK.2021.44 vom 17. November 2021</w:t>
      </w:r>
    </w:p>
    <w:p>
      <w:r>
        <w:t>Bundesstrafgericht, 2021-11-17, DE</w:t>
      </w:r>
    </w:p>
    <w:p>
      <w:r>
        <w:rPr>
          <w:b/>
        </w:rPr>
        <w:t xml:space="preserve">Quelle: </w:t>
      </w:r>
      <w:r>
        <w:t>https://mcp.opencaselaw.ch/entscheid/bstger_SK.2021.44</w:t>
      </w:r>
    </w:p>
    <w:p>
      <w:r>
        <w:t>FR: TPF SK.2021.44 du 17 novembre 2021</w:t>
      </w:r>
    </w:p>
    <w:p>
      <w:r>
        <w:t>IT: TPF SK.2021.44 del 17 novembre 2021</w:t>
      </w:r>
    </w:p>
    <w:p>
      <w:pPr>
        <w:pStyle w:val="Heading2"/>
      </w:pPr>
      <w:r>
        <w:t>Regeste</w:t>
      </w:r>
    </w:p>
    <w:p>
      <w:r>
        <w:t>In Umlaufsetzen falschen Geldes (Art. 242 Abs. 1 StGB), versuchter geringfügiger Betrug (Art. 146 Abs 1 StGB i.V.m. Art. 172ter Abs. 1 StGB i.V.m. Art. 22 Abs. 1 StGB)</w:t>
      </w:r>
    </w:p>
    <w:p>
      <w:pPr>
        <w:pStyle w:val="Heading2"/>
      </w:pPr>
      <w:r>
        <w:t>Erwägungen</w:t>
      </w:r>
    </w:p>
    <w:p>
      <w:r>
        <w:rPr>
          <w:b/>
        </w:rPr>
        <w:t>E. 1</w:t>
      </w:r>
    </w:p>
    <w:p>
      <w:r>
        <w:t>A. wird freigesprochen.</w:t>
      </w:r>
    </w:p>
    <w:p>
      <w:r>
        <w:rPr>
          <w:b/>
        </w:rPr>
        <w:t>E. 2</w:t>
      </w:r>
    </w:p>
    <w:p>
      <w:r>
        <w:t>Die beschlagnahmte Note à 50 Millionen «Francoronen» wird bei den Akten belas- sen.</w:t>
      </w:r>
    </w:p>
    <w:p>
      <w:r>
        <w:rPr>
          <w:b/>
        </w:rPr>
        <w:t>E. 3</w:t>
      </w:r>
    </w:p>
    <w:p>
      <w:r>
        <w:t>Die Kosten des Verfahrens trägt die Eidgenossenschaft.</w:t>
      </w:r>
    </w:p>
    <w:p>
      <w:r>
        <w:rPr>
          <w:b/>
        </w:rPr>
        <w:t>E. 4</w:t>
      </w:r>
    </w:p>
    <w:p>
      <w:r>
        <w:t>A. wird durch die Eidgenossenschaft mit Fr. 72.– entschädigt. II.</w:t>
      </w:r>
    </w:p>
    <w:p>
      <w:r>
        <w:t>Dieses Urteil wird in der Hauptverhandlung eröffnet und durch den Einzelrichter mündlich begründet. Der anwesenden Partei wird das Urteilsdispositiv ausgehändigt; den nicht an- wesenden Parteien wird es schriftlich zugestellt. Im Namen der Strafkammer des Bundesstrafgerichts</w:t>
      </w:r>
    </w:p>
    <w:p>
      <w:r>
        <w:t>Der Einzelrichter Der Gerichtsschreiber</w:t>
      </w:r>
    </w:p>
    <w:p>
      <w:r>
        <w:t>- 3 - SK.2021.44 Eine vollständige schriftliche Ausfertigung wird ausgehändigt an:  A. (Beschuldigter) Eine vollständige schriftliche Ausfertigung wird zugestellt an:  Bundesanwaltschaft  B. AG, vertreten durch C. (Privatklägerschaft) Nach Eintritt der Rechtskraft mitzuteilen an:  Bundesanwaltschaft als Vollzugsbehörde (vollständig)  Bundesamt für Polizei (vollständig; gestützt auf Art. 68 StBOG i.V.m. Art. 1 Ziff. 8 der Verordnung über die Mitteilung kantonaler Strafentscheide vom 10. Novem- ber 2004)</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- 4 - SK.2021.44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17.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