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SK.2021.37 vom 25. November 2021</w:t>
      </w:r>
    </w:p>
    <w:p>
      <w:r>
        <w:t>Bundesstrafgericht, 2021-11-25, DE</w:t>
      </w:r>
    </w:p>
    <w:p>
      <w:r>
        <w:rPr>
          <w:b/>
        </w:rPr>
        <w:t xml:space="preserve">Quelle: </w:t>
      </w:r>
      <w:r>
        <w:t>https://mcp.opencaselaw.ch/entscheid/bstger_SK.2021.37</w:t>
      </w:r>
    </w:p>
    <w:p>
      <w:r>
        <w:t>FR: TPF SK.2021.37 du 25 novembre 2021</w:t>
      </w:r>
    </w:p>
    <w:p>
      <w:r>
        <w:t>IT: TPF SK.2021.37 del 25 novembre 2021</w:t>
      </w:r>
    </w:p>
    <w:p>
      <w:pPr>
        <w:pStyle w:val="Heading2"/>
      </w:pPr>
      <w:r>
        <w:t>Regeste</w:t>
      </w:r>
    </w:p>
    <w:p>
      <w:r>
        <w:t>Gefährdung durch Sprengstoffe und giftige Gase in verbrecherischer Absicht (Art. 224 Abs. 1 StGB)</w:t>
      </w:r>
    </w:p>
    <w:p>
      <w:pPr>
        <w:pStyle w:val="Heading2"/>
      </w:pPr>
      <w:r>
        <w:t>Erwägungen</w:t>
      </w:r>
    </w:p>
    <w:p>
      <w:r>
        <w:rPr>
          <w:b/>
        </w:rPr>
        <w:t>E. 1</w:t>
      </w:r>
    </w:p>
    <w:p>
      <w:r>
        <w:t>B.,</w:t>
      </w:r>
    </w:p>
    <w:p>
      <w:r>
        <w:rPr>
          <w:b/>
        </w:rPr>
        <w:t>E. 2</w:t>
      </w:r>
    </w:p>
    <w:p>
      <w:r>
        <w:t>A. wird bestraft mit 14 Monaten Freiheitsstrafe, bedingt vollziehbar bei einer Pro- bezeit von 2 Jahren.</w:t>
      </w:r>
    </w:p>
    <w:p>
      <w:r>
        <w:rPr>
          <w:b/>
        </w:rPr>
        <w:t>E. 3</w:t>
      </w:r>
    </w:p>
    <w:p>
      <w:r>
        <w:t>A. wird zusätzlich mit einer Busse von Fr. 2’000.-- bestraft; bei schuldhafter Nicht- bezahlung mit einer Ersatzfreiheitsstrafe von 20 Tagen.</w:t>
      </w:r>
    </w:p>
    <w:p>
      <w:r>
        <w:rPr>
          <w:b/>
        </w:rPr>
        <w:t>E. 4</w:t>
      </w:r>
    </w:p>
    <w:p>
      <w:r>
        <w:t>Der Kanton St. Gallen wird als Vollzugskanton bestimmt.</w:t>
      </w:r>
    </w:p>
    <w:p>
      <w:r>
        <w:rPr>
          <w:b/>
        </w:rPr>
        <w:t>E. 5</w:t>
      </w:r>
    </w:p>
    <w:p>
      <w:r>
        <w:t>Die beschlagnahmten Überreste des pyrotechnischen Gegenstandes (Asservat- Nr. 1) und die drei Packungen Big Flashing Thunder (Asservat-Nr. 2) werden ein- gezogen und vernichtet.</w:t>
      </w:r>
    </w:p>
    <w:p>
      <w:r>
        <w:rPr>
          <w:b/>
        </w:rPr>
        <w:t>E. 6</w:t>
      </w:r>
    </w:p>
    <w:p>
      <w:r>
        <w:t>Allfällige Zivilforderungen werden auf den Zivilweg verwiesen.</w:t>
      </w:r>
    </w:p>
    <w:p>
      <w:r>
        <w:rPr>
          <w:b/>
        </w:rPr>
        <w:t>E. 7</w:t>
      </w:r>
    </w:p>
    <w:p>
      <w:r>
        <w:t>Die Verfahrenskosten betragen Fr. 5'000.-- (Gebühr Bundesanwaltschaft Fr. 3'500.--, Gerichtsgebühr Fr. 1'500.--) und werden A. auferlegt. Wird seitens A. keine schriftliche Urteilsbegründung verlangt, so reduziert sich die Gerichtsgebühr um die Hälfte.</w:t>
      </w:r>
    </w:p>
    <w:p>
      <w:r>
        <w:rPr>
          <w:b/>
        </w:rPr>
        <w:t>E. 8</w:t>
      </w:r>
    </w:p>
    <w:p>
      <w:r>
        <w:t>Rechtsanwalt David Ackermann wird für die amtliche Verteidigung von A. durch die Eidgenossenschaft mit Fr. 10'208.55 (inkl. MWST) entschädigt. A. wird verpflichtet, der Eidgenossenschaft die Entschädigung für seinen amtli- chen Verteidiger zurückzubezahlen.</w:t>
      </w:r>
    </w:p>
    <w:p>
      <w:r>
        <w:t>- 3 - SK.2021.37 II.</w:t>
      </w:r>
    </w:p>
    <w:p>
      <w:r>
        <w:t>Dieses Urteil wird in der Hauptverhandlung eröffnet und durch den Einzelrichter mündlich begründet. Den anwesenden Parteien wird das Urteilsdispositiv ausgehändigt, den nicht anwesenden Privatklägern wird es schriftlich zugestellt. Im Namen der Strafkammer des Bundesstrafgerichts</w:t>
      </w:r>
    </w:p>
    <w:p>
      <w:r>
        <w:t>Der Einzelrichter Die Gerichtsschreiberin</w:t>
      </w:r>
    </w:p>
    <w:p>
      <w:r>
        <w:t>Nach Eintritt der Rechtskraft mitzuteilen an:  Bundesanwaltschaft als Vollzugsbehörde (vollständig)  Bundesamt für Polizei (vollständig; gestützt auf Art. 68 StBOG i.V.m. Art. 3 Ziff. 28 der Verordnung über die Mitteilung kantonaler Strafentscheide vom 10. November 2014)</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w:t>
      </w:r>
    </w:p>
    <w:p>
      <w:r>
        <w:t>- 4 - SK.2021.37 sie verlangt und welche Beweisanträge sie stellt. Werden nur Teile des Urteils angefochten, ist verbindlich anzugeben, auf welche sich die Berufung beschränkt (Art. 399 Abs. 3 und 4 StPO). Beschwerde an die Beschwerdekammer des Bundesstrafgerichts Gegen den Entschädigungsentscheid kann die amtliche Verteidigung innert 10 Tagen schriftlich und begrün- det Beschwerde bei der Beschwerdekammer des Bundesstrafgerichts führen (Art. 135 Abs. 3 lit. a und Art. 396 Abs. 1 StPO; Art. 37 Abs. 1 StBOG).</w:t>
      </w:r>
    </w:p>
    <w:p>
      <w:r>
        <w:t>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25.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