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SK.2021.1 vom 1. Februar 2021</w:t>
      </w:r>
    </w:p>
    <w:p>
      <w:r>
        <w:t>Bundesstrafgericht, 2021-02-01, DE</w:t>
      </w:r>
    </w:p>
    <w:p>
      <w:r>
        <w:rPr>
          <w:b/>
        </w:rPr>
        <w:t xml:space="preserve">Quelle: </w:t>
      </w:r>
      <w:r>
        <w:t>https://mcp.opencaselaw.ch/entscheid/bstger_SK.2021.1</w:t>
      </w:r>
    </w:p>
    <w:p>
      <w:r>
        <w:t>FR: TPF SK.2021.1 du 1 février 2021</w:t>
      </w:r>
    </w:p>
    <w:p>
      <w:r>
        <w:t>IT: TPF SK.2021.1 del 1 febbraio 2021</w:t>
      </w:r>
    </w:p>
    <w:p>
      <w:pPr>
        <w:pStyle w:val="Heading2"/>
      </w:pPr>
      <w:r>
        <w:t>Regeste</w:t>
      </w:r>
    </w:p>
    <w:p>
      <w:r>
        <w:t>Gewalt und Drohung gegen Behörden und Beamte (Art. 285 StGB)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Bundesstraf- verfahren (BStKR; SR 173.713.162) eine pauschale Gebühr von Fr. 300.-- festzusetz- ten ist.</w:t>
      </w:r>
    </w:p>
    <w:p>
      <w:r>
        <w:t>- 7 - SK.2021.1 Der Einzelrichter verfügt: 1. Auf die Einsprache von A. gegen den Strafbefehl der Bundesanwaltschaft vom 7. September 2020 wird nicht eingetreten. 2. Die Verfahrenskosten von Fr. 300.-- werden A. auferlegt. 3. Dieser Entscheid wird den Parteien schriftlich eröffnet.</w:t>
      </w:r>
    </w:p>
    <w:p>
      <w:r>
        <w:t>Im Namen der Strafkammer des Bundesstrafgerichts</w:t>
      </w:r>
    </w:p>
    <w:p>
      <w:r>
        <w:t>Der Einzelrichter Die Gerichtsschreiberin</w:t>
      </w:r>
    </w:p>
    <w:p>
      <w:r>
        <w:t>Zustellung an  Bundesanwaltschaft, Frau Simone Meyer-Burger, Staatsanwältin des Bundes  Herrn Fürsprecher Sararard Arquint (Verteidiger des Beschuldigten) Nach Eintritt der Rechtskraft mitzuteilen an:  Bundesanwaltschaft als Vollzugsbehörde (vollständig)  Migrationsamt des Kantons Zürich (Art. 82 Abs. 1 VZAE) Rechtsmittelbelehrung Beschwerde an die Beschwerdekammer des Bundesstrafgerichts 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 Mit der Beschwerde können gerügt werden: Rechtsverletzungen, einschliesslich Überschreitung und Miss- brauch des Ermessens, Rechtsverweigerung und Rechtsverzögerung; die unvollständige oder unrichtige Feststellung des Sachverhalts sowie Unangemessenheit (Art. 393 Abs. 2 StPO).</w:t>
      </w:r>
    </w:p>
    <w:p>
      <w:r>
        <w:t>Versand 1. Februar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