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SK.2020.58 vom 11. Juni 2021</w:t>
      </w:r>
    </w:p>
    <w:p>
      <w:r>
        <w:t>Bundesstrafgericht, 2021-06-11, DE</w:t>
      </w:r>
    </w:p>
    <w:p>
      <w:r>
        <w:rPr>
          <w:b/>
        </w:rPr>
        <w:t xml:space="preserve">Quelle: </w:t>
      </w:r>
      <w:r>
        <w:t>https://mcp.opencaselaw.ch/entscheid/bstger_SK.2020.58</w:t>
      </w:r>
    </w:p>
    <w:p>
      <w:r>
        <w:t>FR: TPF SK.2020.58 du 11 juin 2021</w:t>
      </w:r>
    </w:p>
    <w:p>
      <w:r>
        <w:t>IT: TPF SK.2020.58 del 11 giugno 2021</w:t>
      </w:r>
    </w:p>
    <w:p>
      <w:pPr>
        <w:pStyle w:val="Heading2"/>
      </w:pPr>
      <w:r>
        <w:t>Regeste</w:t>
      </w:r>
    </w:p>
    <w:p>
      <w:r>
        <w:t>Urkundenfälschung (Art. 251 StGB)</w:t>
      </w:r>
    </w:p>
    <w:p>
      <w:pPr>
        <w:pStyle w:val="Heading2"/>
      </w:pPr>
      <w:r>
        <w:t>Erwägungen</w:t>
      </w:r>
    </w:p>
    <w:p>
      <w:r>
        <w:rPr>
          <w:b/>
        </w:rPr>
        <w:t>E. 1</w:t>
      </w:r>
    </w:p>
    <w:p>
      <w:r>
        <w:t>A. wird schuldig gesprochen der Urkundenfälschung im Sinne von Art. 251 Ziff. 1 Abs. 2 StGB, begangen am 20. September 2006 in Z.</w:t>
      </w:r>
    </w:p>
    <w:p>
      <w:r>
        <w:rPr>
          <w:b/>
        </w:rPr>
        <w:t>E. 2</w:t>
      </w:r>
    </w:p>
    <w:p>
      <w:r>
        <w:t>A. wird bestraft mit einer Geldstrafe von 100 Tagessätzen à Fr. 3‘000.--, bedingt vollziehbar bei einer Probezeit von 2 Jahren.</w:t>
      </w:r>
    </w:p>
    <w:p>
      <w:r>
        <w:rPr>
          <w:b/>
        </w:rPr>
        <w:t>E. 3</w:t>
      </w:r>
    </w:p>
    <w:p>
      <w:r>
        <w:t>Als Vollzugskanton wird der Kanton Zürich bestimmt.</w:t>
      </w:r>
    </w:p>
    <w:p>
      <w:r>
        <w:rPr>
          <w:b/>
        </w:rPr>
        <w:t>E. 4</w:t>
      </w:r>
    </w:p>
    <w:p>
      <w:r>
        <w:t>Die Beschlagnahme der Vermögenswerte auf dem Konto Nr. 1, lautend auf A., bei der B. AG, wird zur Deckung der ihm auferlegten Verfahrenskosten aufrechterhalten (Art. 267 Abs. 3 StPO; Art. 268 Abs. 1 lit. a StPO). Für den übersteigenden Betrag wird die Beschlagnahme mit Rechtskraft dieses Urteils aufgehoben.</w:t>
      </w:r>
    </w:p>
    <w:p>
      <w:r>
        <w:rPr>
          <w:b/>
        </w:rPr>
        <w:t>E. 5</w:t>
      </w:r>
    </w:p>
    <w:p>
      <w:r>
        <w:t>Die Verfahrenskosten betragen total Fr. 81‘201.35.-- (Gebühr Vorverfahren: Fr. 4‘000.--, Auslagen Vorverfahren: Fr. 72‘930.85; Gerichtsgebühr: Fr. 3‘500.--, Auslagen Gericht: Fr. 770.50.--). Davon werden A. Fr. 31‘398.33.-- auferlegt. Wird seitens A. keine schriftliche Urteilsbegründung verlangt, so reduziert sich die Gerichtsgebühr um die Hälfte.</w:t>
      </w:r>
    </w:p>
    <w:p>
      <w:r>
        <w:rPr>
          <w:b/>
        </w:rPr>
        <w:t>E. 6</w:t>
      </w:r>
    </w:p>
    <w:p>
      <w:r>
        <w:t>Es wird keine Entschädigung ausgerichtet.</w:t>
      </w:r>
    </w:p>
    <w:p>
      <w:r>
        <w:rPr>
          <w:b/>
        </w:rPr>
        <w:t>E. 7</w:t>
      </w:r>
    </w:p>
    <w:p>
      <w:r>
        <w:t>Auf den Antrag, eine Löschungsverfügung betreffend elektronisch gesicherter Daten zu erlassen, wird nicht eingetreten. II.</w:t>
      </w:r>
    </w:p>
    <w:p>
      <w:r>
        <w:t>Dieses Urteil wird in der Hauptverhandlung eröffnet und durch den Einzelrichter mündlich begründet. Den anwesenden Parteien wird das Urteilsdispositiv ausgehändigt. Im Namen der Strafkammer des Bundesstrafgerichts</w:t>
      </w:r>
    </w:p>
    <w:p>
      <w:r>
        <w:t>Der Einzelrichter Die Gerichtsschreiberin</w:t>
      </w:r>
    </w:p>
    <w:p>
      <w:r>
        <w:t>- 3 - SK.2020.58 Nach Eintritt der Rechtskraft mitzuteilen an:  Bundesanwaltschaft als Vollzugsbehörde (vollständig)  Migrationsamt des Kantons Zürich (gemäss Art. 82 Abs. 1 VZAE [Dispositiv])</w:t>
      </w:r>
    </w:p>
    <w:p>
      <w:r>
        <w:t>Rechtsmittelbelehrungen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w:t>
      </w:r>
    </w:p>
    <w:p>
      <w:r>
        <w:t>Gesuch um neue Beurteilung</w:t>
      </w:r>
    </w:p>
    <w:p>
      <w:r>
        <w:t>Die verurteilte Person, welcher das Abwesenheitsurteil persönlich zugestellt worden ist, kann innert 10 Tagen bei der Strafkammer des Bundesstrafgerichts schriftlich oder mündlich eine neue Beurteilung verlangen (Art. 368 Abs. 1 StPO). Im Gesuch hat die verurteilte Person kurz zu begründen, weshalb sie an der Haupt- verhandlung nicht teilnehmen konnte (Art. 368 Abs. 2 StPO).</w:t>
      </w:r>
    </w:p>
    <w:p>
      <w:r>
        <w:t>Das Gericht lehnt das Gesuch ab, wenn die verurteilte Person ordnungsgemäss vorgeladen worden, aber der Hauptverhandlung unentschuldigt ferngeblieben ist (Art. 368 Abs. 3 StPO).</w:t>
      </w:r>
    </w:p>
    <w:p>
      <w:r>
        <w:t>Sind die Voraussetzungen für eine neue Beurteilung voraussichtlich erfüllt, so setzt die Verfahrensleitung eine neue Hauptverhandlung an. An dieser entscheidet das Gericht über das Gesuch um neue Beurteilung und fällt gegebenenfalls ein neues Urteil (Art. 369 Abs. 1 StPO). Bleibt die verurteilte Person der Hauptverhandlung erneut unentschuldigt fern, so bleibt das Abwesenheitsurteil bestehen (Art. 369 Abs. 4 StPO).</w:t>
      </w:r>
    </w:p>
    <w:p>
      <w:r>
        <w:t>Solange die Berufungsfrist noch läuft, kann die verurteilte Person neben oder statt dem Gesuch um neue Beurteilung auch die Berufung gegen das Abwesenheitsurteil erklären (Art. 371 Abs. 1 StPO). Auf eine Beru- fung wird nur eingetreten, wenn das Gesuch um neue Beurteilung abgelehnt wurde (Art. 371 Abs. 2 StPO).</w:t>
      </w:r>
    </w:p>
    <w:p>
      <w:r>
        <w:t>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- 4 - SK.2020.58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11. Juni 2021 (brevi manu)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