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SK.2020.52 vom 9. September 2021</w:t>
      </w:r>
    </w:p>
    <w:p>
      <w:r>
        <w:t>Bundesstrafgericht, 2021-09-09, FR</w:t>
      </w:r>
    </w:p>
    <w:p>
      <w:r>
        <w:rPr>
          <w:b/>
        </w:rPr>
        <w:t xml:space="preserve">Quelle: </w:t>
      </w:r>
      <w:r>
        <w:t>https://mcp.opencaselaw.ch/entscheid/bstger_SK.2020.52</w:t>
      </w:r>
    </w:p>
    <w:p>
      <w:r>
        <w:t>FR: TPF SK.2020.52 du 9 septembre 2021</w:t>
      </w:r>
    </w:p>
    <w:p>
      <w:r>
        <w:t>IT: TPF SK.2020.52 del 9 settembre 2021</w:t>
      </w:r>
    </w:p>
    <w:p>
      <w:pPr>
        <w:pStyle w:val="Heading2"/>
      </w:pPr>
      <w:r>
        <w:t>Regeste</w:t>
      </w:r>
    </w:p>
    <w:p>
      <w:r>
        <w:t>Faux dans les titres (art. 251 CP) Retrait de l'opposition (art. 356 al. 3 CPP)</w:t>
      </w:r>
    </w:p>
    <w:p>
      <w:pPr>
        <w:pStyle w:val="Heading2"/>
      </w:pPr>
      <w:r>
        <w:t>Erwägungen</w:t>
      </w:r>
    </w:p>
    <w:p>
      <w:r>
        <w:rPr>
          <w:b/>
        </w:rPr>
        <w:t>E. 17</w:t>
      </w:r>
    </w:p>
    <w:p>
      <w:r>
        <w:t>septembre 2020 dans la cause opposant le Ministère public de la Confédération à A. 2. La cause SK.2020.52 est rayée du rôle. 3. Les frais de la présente procédure ascendant à CHF 3'000.-- sont mis à la charge de A.</w:t>
      </w:r>
    </w:p>
    <w:p>
      <w:r>
        <w:t>Au nom de la Cour des affaires pénales du Tribunal pénal fédéral</w:t>
      </w:r>
    </w:p>
    <w:p>
      <w:r>
        <w:t>Le juge unique La greffière</w:t>
      </w:r>
    </w:p>
    <w:p>
      <w:r>
        <w:t>Distribution (acte judiciaire) - Ministère public de la Confédération, Madame Héloïse Rordorf-Braun, Procureure fédérale - Me Jean-Marc Carnicé, Etude BianchiSchwald Sàrl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w:t>
      </w:r>
    </w:p>
    <w:p>
      <w:r>
        <w:t>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9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