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SK.2020.37 vom 23. September 2020</w:t>
      </w:r>
    </w:p>
    <w:p>
      <w:r>
        <w:t>Bundesstrafgericht, 2020-09-23, DE</w:t>
      </w:r>
    </w:p>
    <w:p>
      <w:r>
        <w:rPr>
          <w:b/>
        </w:rPr>
        <w:t xml:space="preserve">Quelle: </w:t>
      </w:r>
      <w:r>
        <w:t>https://mcp.opencaselaw.ch/entscheid/bstger_SK.2020.37</w:t>
      </w:r>
    </w:p>
    <w:p>
      <w:r>
        <w:t>FR: TPF SK.2020.37 du 23 septembre 2020</w:t>
      </w:r>
    </w:p>
    <w:p>
      <w:r>
        <w:t>IT: TPF SK.2020.37 del 23 settembre 2020</w:t>
      </w:r>
    </w:p>
    <w:p>
      <w:pPr>
        <w:pStyle w:val="Heading2"/>
      </w:pPr>
      <w:r>
        <w:t>Regeste</w:t>
      </w:r>
    </w:p>
    <w:p>
      <w:r>
        <w:t>Hinderung einer Amtshandlung (Art. 286 StGB) und Ruhestörung (§ 7 Bst. B. StJVG)</w:t>
      </w:r>
    </w:p>
    <w:p>
      <w:pPr>
        <w:pStyle w:val="Heading2"/>
      </w:pPr>
      <w:r>
        <w:t>Volltext</w:t>
      </w:r>
    </w:p>
    <w:p>
      <w:r>
        <w:t>Verfügung vom 23. September 2020 Strafkammer Besetzung</w:t>
      </w:r>
    </w:p>
    <w:p>
      <w:r>
        <w:t>Bundesstrafrichterin Joséphine Contu Albrizio Gerichtsschreiberin Fiona Krummenacher Parteien</w:t>
      </w:r>
    </w:p>
    <w:p>
      <w:r>
        <w:t>BUNDESANWALTSCHAFT, vertreten durch Staatsanwältin des Bundes Simone Meyer-Burger,</w:t>
      </w:r>
    </w:p>
    <w:p>
      <w:r>
        <w:t>gegen</w:t>
      </w:r>
    </w:p>
    <w:p>
      <w:r>
        <w:t>A. Gegenstand</w:t>
      </w:r>
    </w:p>
    <w:p>
      <w:r>
        <w:t>Rückzug der Einsprache; Abschreibung des Verfahrens B u n d e s s t r a f g e r i c h t T r i b u n a l p é n a l f é d é r a l T r i b u n a l e p e n a l e f e d e r a l e T r i b u n a l p e n a l f e d e r a l</w:t>
      </w:r>
    </w:p>
    <w:p>
      <w:r>
        <w:t>Geschäftsnummer: SK.2020.37</w:t>
      </w:r>
    </w:p>
    <w:p>
      <w:r>
        <w:t>- 2 - SK.2020.37 Die Einzelrichterin erwägt, dass: – die Bundesanwaltschaft mit Strafbefehl vom 27. April 2020 A. wegen Hinderung einer Amtshandlung (Art. 286 StGB) und Ruhestörung (§ 7 lit. b StJVG) zu einer bedingten Geldstrafe von 20 Tagessätzen à Fr. 50.-- bei einer Probezeit von zwei Jahren, zu einer Verbindungsbusse von Fr. 200.--, zu einer Übertretungsbusse von Fr. 100.-- und zur Bezahlung der Verfahrenskosten von Fr. 500.-- verurteilte (BA 3.0.1 ff.); – A. mit Schreiben vom 24. Mai 2020 gegen den Strafbefehl Einsprache erhob (BA 3.0.5); – die Bundesanwaltschaft am Strafbefehl festhielt (Art. 355 Abs. 3 lit. a StPO) und am 31. August 2020 dem hiesigen Gericht den Strafbefehl als Anklageschrift zwecks Durchführung eines Hauptverfahrens überwies (Art. 356 Abs. 1 StPO); – das Gericht vorfrageweise über die Gültigkeit des Strafbefehls und der Einsprache entscheidet (Art. 356 Abs. 2 StPO); – der Strafbefehl vom 27. April 2020 die in Art. 353 Abs. 1 StPO aufgelisteten Kriterien beinhaltet und gemäss Art. 353 Abs. 3 StPO formgerecht eröffnet wurde; – die Einsprache vom 24. Mai 2020 form- und fristgerecht erfolgte (Art. 354 Abs. 1 lit. a und Abs. 2 StPO); – die Einsprache bis zum Schluss der Parteivorträge zurückgezogen werden kann (Art. 356 Abs. 3 StPO) und diesfalls der Strafbefehl zum Urteil wird und in Rechtskraft erwächst (RIKLIN, Basler Kommentar, 2. Aufl. 2014, Art. 356 StPO N. 4); – A. mit Schreiben vom 10. September 2020 die Einsprache innert vorgenanntem Zeit- raum zurückzog (SK 2.521.001); – der Strafbefehl der Bundesanwaltschaft vom 27. April 2020 somit zum Urteil wird und in Rechtskraft erwächst; – das Verfahren SK.2020.37 infolgedessen als gegenstandslos abzuschreiben ist; – sich die Kosten des gerichtlichen Verfahrens und deren Verlegung grundsätzlich nach den Art. 422 - 428 StPO bestimmen; – zur Regelung der Kostenfolge bei der Gegenstandslosigkeit des Verfahrens grund- sätzlich auf das allgemeine Kriterium abzustellen ist, wonach die entstandenen Ver- fahrenskosten von jener Partei zu tragen sind, die das gegenstandslos gewordene</w:t>
      </w:r>
    </w:p>
    <w:p>
      <w:r>
        <w:t>- 3 - SK.2020.37 Verfahren verursacht hat (vgl. Urteil des Bundesgerichts 2C_237/2009 vom 28. Sep- tember 2009 E. 3.3); – A. durch den Rückzug der Einsprache die Gegenstandslosigkeit des Verfahrens SK.2020.37 verursacht hat; – wenn der Einspracherückzug nach Überweisung der Akten an das erstinstanzliche Gericht erfolgt (Art. 356 Abs. 1 StPO), die Rückzug erklärende Person die Kosten zu tragen hat (statt vieler: Verfügung der Strafkammer des Bundesstrafgerichts SK.2016.49 vom 20. Januar 2017; DAPHINOFF, Das Strafbefehlsverfahren in der Schweizerischen Strafprozessordnung, Diss. 2012, S. 626; GILLIÉRON/KILLIAS, Com- mentaire Romand, Code de procédure pénale suisse, 2. Auflage 2019, Art. 356 StPO N. 14); – A. demnach die Kosten des Verfahrens zu tragen hat; – neben den im (nun rechtskräftigen) Strafbefehl auferlegten Kosten für das Strafbe- fehlsverfahren zusätzlich die Kosten für die nach der Einspracheerhebung vorgenom- menen Verfahrensschritte hinzukommen (DAPHINOFF, a.a.O., S. 626); – in Anwendung von Art. 73 Abs. 1 lit. a und b des Bundesgesetzes über die Organisa- tion der Strafbehörden des Bundes vom 19. März 2010 (StBOG; SR 173.71) i.V.m. Art. 1 Abs. 4, Art. 5 und Art. 7 lit. a des Reglements des Bundesstrafgerichts vom 31. August 2010 über die Kosten, Gebühren und Entschädigungen in Bundesstraf- verfahren (BStKR; SR 173.713.162) eine minimale Pauschalgebühr von Fr. 200.-- festzusetzen ist.</w:t>
      </w:r>
    </w:p>
    <w:p>
      <w:r>
        <w:t>- 4 - SK.2020.37 Die Einzelrichterin erkennt: 1. Das Verfahren SK.2020.37 wird infolge Rückzugs der Einsprache als gegenstandslos abgeschrieben. 2. Die Verfahrenskosten von Fr. 200.-- werden A. auferlegt. 3. Diese Verfügung wird den Parteien schriftlich eröffnet.</w:t>
      </w:r>
    </w:p>
    <w:p>
      <w:r>
        <w:t>Im Namen der Strafkammer des Bundesstrafgerichts</w:t>
      </w:r>
    </w:p>
    <w:p>
      <w:r>
        <w:t>Die Einzelrichterin Die Gerichtsschreiberin</w:t>
      </w:r>
    </w:p>
    <w:p>
      <w:r>
        <w:t>Geht an: - Bundesanwaltschaft, Frau Simone Meyer-Burger, Staatsanwältin des Bundes, - Herrn A.</w:t>
      </w:r>
    </w:p>
    <w:p>
      <w:r>
        <w:t>Nach Eintritt der Rechtskraft mitzuteilen an - Bundesanwaltschaft als Vollzugsbehörde (vollständig)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23. September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