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 vom 31. August 2020</w:t>
      </w:r>
    </w:p>
    <w:p>
      <w:r>
        <w:t>Bundesstrafgericht, 2020-08-31, IT</w:t>
      </w:r>
    </w:p>
    <w:p>
      <w:r>
        <w:rPr>
          <w:b/>
        </w:rPr>
        <w:t xml:space="preserve">Quelle: </w:t>
      </w:r>
      <w:r>
        <w:t>https://mcp.opencaselaw.ch/entscheid/bstger_SK.2020.1</w:t>
      </w:r>
    </w:p>
    <w:p>
      <w:r>
        <w:t>FR: TPF SK.2020.1 du 31 août 2020</w:t>
      </w:r>
    </w:p>
    <w:p>
      <w:r>
        <w:t>IT: TPF SK.2020.1 del 31 agosto 2020</w:t>
      </w:r>
    </w:p>
    <w:p>
      <w:pPr>
        <w:pStyle w:val="Heading2"/>
      </w:pPr>
      <w:r>
        <w:t>Regeste</w:t>
      </w:r>
    </w:p>
    <w:p>
      <w:r>
        <w:t>Organizzazione criminale (art. 260ter CP), ricettazione, denuncia mendace (art. 303 cifra 2 CP) subordinatamente sviamento della giustizia (art. 304 CP), ricettazione (art. 160 CP), infrazione alla Legge federale sulle armi, gli accessori di armi e le munizioni (art. 33 LArm) Rinvio del TF</w:t>
      </w:r>
    </w:p>
    <w:p>
      <w:pPr>
        <w:pStyle w:val="Heading2"/>
      </w:pPr>
      <w:r>
        <w:t>Erwägungen</w:t>
      </w:r>
    </w:p>
    <w:p>
      <w:r>
        <w:rPr>
          <w:b/>
        </w:rPr>
        <w:t>E. 1.1</w:t>
      </w:r>
    </w:p>
    <w:p>
      <w:r>
        <w:t>partecipazione ad un’organizzazione criminale;</w:t>
      </w:r>
    </w:p>
    <w:p>
      <w:r>
        <w:rPr>
          <w:b/>
        </w:rPr>
        <w:t>E. 1.2</w:t>
      </w:r>
    </w:p>
    <w:p>
      <w:r>
        <w:t>sostegno ad un’organizzazione criminale, per il punto 1.1.2 dell’atto di accusa;</w:t>
      </w:r>
    </w:p>
    <w:p>
      <w:r>
        <w:rPr>
          <w:b/>
        </w:rPr>
        <w:t>E. 1.3</w:t>
      </w:r>
    </w:p>
    <w:p>
      <w:r>
        <w:t>ricettazione;</w:t>
      </w:r>
    </w:p>
    <w:p>
      <w:r>
        <w:rPr>
          <w:b/>
        </w:rPr>
        <w:t>E. 1.4</w:t>
      </w:r>
    </w:p>
    <w:p>
      <w:r>
        <w:t>ripetuta infrazione alla legge federale sulle armi, gli accessori di armi e le munizioni. 2. A. è prosciolto per i punti 1.1.3, 1.3 e 1.4.7 dell’atto d’accusa. 3. A. è condannato ad una pena detentiva di tre anni e cinque mesi. 4. È disposta la confisca dei seguenti oggetti: 01.06.0001 Berretta con manico di legno 9x19 mm, modello 92FS, calibro 9 Parabellum, numero di serie ….., magazzino con 10 cartucce 9x19 mm e 5 cartucce di calibro non definito 01.06.0002 Arma da fuoco portatile marca Erma, modello EP 655, calibro 6.35/25, numero di serie ……, magazzino 6 cartucce calibro 6.35 01.07.0003 Nunchaku di metallo 01.07.0005 Proiettile 9x19 mm Parabellum 01.07.0006 4 proiettili di calibro inferiore a 4 mm 04.01.0021 Sacco di plastica contenente 11 cartucce Loose per fucile a pallini, una scatola Remington contenente 3 cartucce, una scatola Gros Gibier contenente una cartuccia 04.02.0008 Fionda 04.02.0020 GPS Tracker incl. carta SIM 5 04.02.0042 Cartucce per fucile a pallini di cui 9 cartucce per fucile a canna Rottwil e 2 cartucce a pallini 7.5 Saga e un proiettile marca Geco per fucile a canna 04.02.0043 5 cartucce calibro 7.65 Browning in contenitore nero 04.03.0004 Scatola delle cartucce per pistola 9 mm (contenente 50 pezzi) marca Geco 04.03.0005 Sacco di plastica contenente 3 scatole di cartucce 22 Long Rifle contenente 50 cartucce ciascuna 04.03.0007 10 cartucce 9 mm Geco Luger</w:t>
      </w:r>
    </w:p>
    <w:p>
      <w:r>
        <w:t>- 20 - SK.2020.1 05.04.0003 4 cartucce per fucile a pallini di cui 2 cartucce per fucile a canna Rottwil e 2 cartucce a pallini 7.5 Saga 05.08.0004 Doppietta Robust calibro 12 n. 222, canna n. …… con cinghia di cuoio 05.08.0005 Cintura per cartucce da caccia incl. 18 cartucce calibro12/70 Clever Mirage 05.09.0007 Sacchetto contenente 2 custodie nere per armi, un contenitore materiale di pulizia e una scatola di cartucce calibro 6.35 mm contenente 13 pezzi 07.04.0002 Pistola marca Crvena Zastava, calibro 7.65 mm modello 70 07.04.0003 Sacchetto di plastica con 3 cartucce 07.04.0004 Una scatola "Remington UMC 50 Centerfire Pistol &amp; Revolver Cartridges" con 13 cartucce 07.04.0005 Coltello a serramanico con meccanismo di apertura con una sola mano, contrassegnato Speed Lock 07.05.0001 3 cartucce calibro 9 mm.</w:t>
      </w:r>
    </w:p>
    <w:p>
      <w:r>
        <w:t>5. La pistola semiautomatica IMI modello Desert Eagle, calibro 44 Magnum, numero di matricola ……, è restituita alle autorità italiane. 6. È disposto il dissequestro dei restanti oggetti di cui al punto 4 dell'atto d'accusa. 7.</w:t>
      </w:r>
    </w:p>
    <w:p>
      <w:r>
        <w:t>7.1 A. è condannato al pagamento delle spese procedurali relative al procedimento SK.2018.3 in ragione di fr. 30'000.–. 7.2 Le spese procedurali concernenti la causa SK.2020.1, pari a fr. 2'000.–, sono poste a carico della Confederazione. 8.</w:t>
      </w:r>
    </w:p>
    <w:p>
      <w:r>
        <w:t>8.1 La retribuzione del difensore d’ufficio avv. Costantino Testa relativa al procedimento SK.2018.3 è fissata in fr. 54'643.35 (IVA inclusa), importo a carico della Confederazione. 8.2 La retribuzione del difensore d'ufficio avv. Costantino Testa relativa alla causa SK.2020.1 è fissata a fr. 13'601.75 (IVA inclusa), importo a carico della Confederazione.</w:t>
      </w:r>
    </w:p>
    <w:p>
      <w:r>
        <w:t>- 21 - SK.2020.1 9. A. è condannato al rimborso alla Confederazione di fr. 30'000.– non appena le sue condizioni economiche glielo permetteranno (art. 135 cpv. 4 CPP).</w:t>
      </w:r>
    </w:p>
    <w:p>
      <w:r>
        <w:rPr>
          <w:b/>
        </w:rPr>
        <w:t>E. 2</w:t>
      </w:r>
    </w:p>
    <w:p>
      <w:r>
        <w:t>Interrogatorio di F.,</w:t>
      </w:r>
    </w:p>
    <w:p>
      <w:r>
        <w:rPr>
          <w:b/>
        </w:rPr>
        <w:t>E. 2.1</w:t>
      </w:r>
    </w:p>
    <w:p>
      <w:r>
        <w:t>Secondo l'art. 107 cpv. 1 LTF, il Tribunale federale non può andare oltre le conclusioni delle parti. Esso può esaminare unicamente i punti della sentenza impugnata espressamente contestati dal ricorrente (v. DONZALLAZ, Loi sur le Tribunal fédéral, Commentaire, 2008, n. 4284 ad art. 107 LTF). In questo senso, l'eventuale annullamento può concernere unicamente quelle parti della sentenza per le quali il ricorso è stato accolto. Per tali parti, l'autorità che si occupa del nuovo giudizio è vincolata dalle considerazioni di diritto sviluppate dal Tribunale federale</w:t>
      </w:r>
    </w:p>
    <w:p>
      <w:r>
        <w:t>- 7 - SK.2020.1 nella sua sentenza di rinvio, le quali devono essere riprese nella nuova decisione (v. DTF 135 III 334 consid. 2; sentenza del Tribunale federale 4C.46/2007 del 17 aprile 2007 consid. 3.1). A causa dell'effetto vincolante delle decisioni di rinvio, sia il tribunale destinatario del rinvio che le parti non possono ancorare il nuovo giudizio su fatti diversi da quelli già constatati o su opinioni giuridiche espressamente respinte mediante la sentenza di rinvio o addirittura non riportate nei considerandi (DTF 143 IV 214 consid. 5.3.3 con rinvii). Fatti nuovi possono essere presi in considerazione unicamente se riguardano aspetti oggetto della decisione di rinvio, i quali non possono tuttavia né essere estesi né ancorati su di un nuovo fondamento giuridico (v. sentenza del Tribunale federale 6B_534/2011 del 5 gennaio 2012 consid. 1.2, con rinvii). Se l'Alta Corte accoglie il ricorso e rinvia la causa all'istanza inferiore per nuovo giudizio, quest'ultima può trattare unicamente i punti della sentenza che sono stati cassati dal Tribunale federale. Le altre parti della sentenza permangono e devono essere riprese nella nuova decisione. A tal proposito, è decisiva la portata materiale della decisione dell'Alta Corte. La nuova decisione dell'istanza inferiore è quindi limitata a quella tematica che, secondo i considerandi dell'Alta Corte, necessita di nuovo giudizio. Per pronunciare il nuovo giudizio, non deve di conseguenza essere riavviato l'intero procedimento, ma unicamente quanto è necessario per ossequiare ai considerandi vincolanti della decisione del Tribunale federale (sentenze del Tribunale federale 6B_1431/2017 del 31 luglio 2018 consid. 1.3 e riferimenti citati; 6B_372/2011 del 12 luglio 2011 consid. 1.1.2).</w:t>
      </w:r>
    </w:p>
    <w:p>
      <w:r>
        <w:rPr>
          <w:b/>
        </w:rPr>
        <w:t>E. 2.2</w:t>
      </w:r>
    </w:p>
    <w:p>
      <w:r>
        <w:t>In concreto l’Alta Corte ha parzialmente accolto il ricorso di A., rinviando la causa alla Corte penale per un nuovo giudizio in punto alla qualificazione del “cavetto metallico con due anelli alle estremità”. In altre parole, il Tribunale federale ha concluso che il ricorso era fondato limitatamente alla questione della qualificazione del cavetto in parola, respingendo per il resto il ricorso, per quanto ammissibile (v. sentenza 6B_37/2019 dell’8 gennaio 2020 consid. 11.1). Esso ha premesso che l’oggetto in questione è liberamente acquistabile attraverso il sito internet indicato dal ricorrente nel suo ricorso come anche presso altri siti specializzati in articoli da campeggio. Si tratta di una sega (tascabile) e con ciò di un comune utensile, che non è destinato né in via principale né in modo preponderante a ferire delle persone, bensì a tagliare legno o altri materiali. Che uso intendesse farne il ricorrente non è, secondo il Tribunale federale, di rilievo, per cui ha concluso che il “cavetto metallico con due anelli alle estremità” non è un’arma a norma dell’art. 4 cpv. 1 lett. d LArm.</w:t>
      </w:r>
    </w:p>
    <w:p>
      <w:r>
        <w:t>In virtù delle vincolanti considerazioni del Tribunale federale l’imputato va dunque prosciolto da questo capo d’accusa. Non vi è per contro nessuna possibilità di rimettere in discussione gli altri punti della sentenza del 27 novembre 2018, tranne</w:t>
      </w:r>
    </w:p>
    <w:p>
      <w:r>
        <w:t>- 8 - SK.2020.1 ovviamente la commisurazione della pena, lasciata dal Tribunale federale al giudice di prime cure come da sua normale facoltà in virtù dell’art. 107 cpv. 2 LTF e quindi non certo per i motivi suggeriti dalla difesa (v. cl. 23 p. 721.015 e segg.), a supporto dei quali nulla è possibile rinvenire nella sentenza di rinvio (v. del resto anche VON WERDT, Bundesgerichtsgesetz, 2a ediz. 2015, n. 14 ad art. 107 LTF). Gli argomenti con cui la difesa ha cercato di scardinare la sentenza del giudice di prime cure nella sua integralità, ma in definitiva anche quella del Tribunale federale, sono quindi privi di qualsiasi fondamento e come prevede la giurisprudenza in questi casi (v. DTF 141 IV 249 consid. 1.3.1 e rinvii) possono essere respinti in globo senza necessità di un loro singolare esame. Per lo stesso motivo sono state respinte tutte le ulteriori istanze probatorie della difesa, visto che si fondano sull’assunto errato che il perimetro processuale si estenda oltre a quello definito in maniera vincolante dal Tribunale federale nella sua sentenza di rinvio. Il dispositivo della sentenza SK.2018.3 del 27 novembre 2018 deve pertanto essere nuovamente ripreso per quanto attiene alle cifre 1 e 5. I proscioglimenti di cui alla cifra 2 vanno ripresi e completati con il proscioglimento relativo al punto 1.4.7 dell’atto d’accusa. Per la motivazione si rimanda ai relativi considerandi della sentenza SK.2018.3 del 27 novembre 2018, pienamente confermati nella loro validità materiale dal Tribunale federale. Visto il rinvio e il proscioglimento relativo al punto 1.4.7 dell’atto d’accusa, il Tribunale deve nuovamente chinarsi sulla pena, sulla confisca della sega tascabile, sulle spese e sulla retribuzione del difensore d’ufficio.</w:t>
      </w:r>
    </w:p>
    <w:p>
      <w:r>
        <w:t>Sulla pena</w:t>
      </w:r>
    </w:p>
    <w:p>
      <w:r>
        <w:t>3.</w:t>
      </w:r>
    </w:p>
    <w:p>
      <w:r>
        <w:rPr>
          <w:b/>
        </w:rPr>
        <w:t>E. 3</w:t>
      </w:r>
    </w:p>
    <w:p>
      <w:r>
        <w:t>Interrogatorio anche a mezzo video di: G. e/o H. e/o I. e/o J. e/o K.</w:t>
      </w:r>
    </w:p>
    <w:p>
      <w:r>
        <w:rPr>
          <w:b/>
        </w:rPr>
        <w:t>E. 3.1</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 In base alla giurisprudenza la circostanza attenuante del tempo trascorso dal reato ex art. 48 lett. e CP è in ogni</w:t>
      </w:r>
    </w:p>
    <w:p>
      <w:r>
        <w:t>- 9 - SK.2020.1 caso data se sono trascorsi i due terzi del termine di prescrizione dell’azione penale (DTF 132 IV 1 consid. 6.2).</w:t>
      </w:r>
    </w:p>
    <w:p>
      <w:r>
        <w:rPr>
          <w:b/>
        </w:rPr>
        <w:t>E. 3.2</w:t>
      </w:r>
    </w:p>
    <w:p>
      <w:r>
        <w:t>Oltre a valutare il grado di colpevolezza, il giudice deve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del Tribunale federale 6B_547/2008 del 5 agosto 2008 consid. 3.2.2). La legge conferisce al giudice un ampio margine di apprezzamento (sentenza del Tribunale federale 6B_207/2007 del 6 settembre 2007 consid. 4.2.1, pubblicata in forumpoenale 2008, n. 8 pag. 25 e seg.). In virtù dell’art. 50 CP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(v. DTF 144 IV 313 consid. 1.2; 127 IV 101 consid. 2c pag. 105).</w:t>
      </w:r>
    </w:p>
    <w:p>
      <w:r>
        <w:rPr>
          <w:b/>
        </w:rPr>
        <w:t>E. 3.3</w:t>
      </w:r>
    </w:p>
    <w:p>
      <w:r>
        <w:t>Secondo l’art. 49 cpv. 1 CP, quando per uno o più reati risultano adempiute le condizioni per infliggere più pene dello stesso genere, il giudice condanna l'autore alla pena prevista per il reato più grave aumentandola in misura adeguata. Non può tuttavia aumentare di oltre la metà il massimo della pena comminata. È in ogni caso vincolato al massimo legale del genere di pena. In base alla giurisprudenza, la determinazione della pena complessiva presuppone anzitutto la delimitazione della cornice edittale per il reato più grave, per poi procedere, entro detta cornice, con la fissazione della pena di base per l'infrazione più grave. Dopodiché occorre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6B_865/2009 del 25 marzo 2010 consid. 1.2.2; 6B_297/2009 del 14 agosto 2009 consid. 3.3.1; 6B_579/2008 del 27 dicembre 2008 consid. 4.2.2, con rinvii). La pronuncia di una pena unica è possibile unicamente ove il giudice irroghi, nel caso concreto, pene</w:t>
      </w:r>
    </w:p>
    <w:p>
      <w:r>
        <w:t>- 10 - SK.2020.1 dello stesso genere per ognuna delle norme violate. Non basta che le disposizioni penali applicabili comminino (parzialmente) pene dello stesso genere. La pena pecuniaria e quella detentiva non costituiscono pene dello stesso genere ai sensi di questa disposizione (DTF 144 IV 217 consid. 2.2, 3.3 e 3.4). Ciò è decisivo nel valutare in che misura tenere conto della pena pecuniaria di 30 aliquote giornaliere irrogata con decreto di accusa dell’8 dicembre 2015 da parte della Procura pubblica bernese (v. cl. 23 p. 231.1.003).</w:t>
      </w:r>
    </w:p>
    <w:p>
      <w:r>
        <w:rPr>
          <w:b/>
        </w:rPr>
        <w:t>E. 3.4</w:t>
      </w:r>
    </w:p>
    <w:p>
      <w:r>
        <w:t>A. è autore colpevole di partecipazione ad un'organizzazione criminale, di sostegno ad un'organizzazione criminale, di ricettazione e di ripetuta infrazione alla legge federale sulle armi, gli accessori di armi e le munizioni.</w:t>
      </w:r>
    </w:p>
    <w:p>
      <w:r>
        <w:rPr>
          <w:b/>
        </w:rPr>
        <w:t>E. 3.4.1</w:t>
      </w:r>
    </w:p>
    <w:p>
      <w:r>
        <w:t>L'imputato ha sicuramente avuto sia un'infanzia che una giovinezza difficili. Egli è venuto a contatto con la giustizia penale molto presto, con effetti rieducativi non certo ottimali. La Corte è consapevole di questo vissuto travagliato e dei tentativi comunque messi in atto dall’imputato per uscire dal circolo vizioso del crimine. Ciò non toglie che i reati per cui viene qui ritenuto colpevole sono molto gravi e denotano un inquietante crescendo della sua biografia criminale.</w:t>
      </w:r>
    </w:p>
    <w:p>
      <w:r>
        <w:t>Per quanto riguarda il reato concretamente più grave, ovvero la partecipazione all'organizzazione criminale, la legge commina sino a 5 anni di detenzione.</w:t>
      </w:r>
    </w:p>
    <w:p>
      <w:r>
        <w:t>La partecipazione di A. alle "locali" di Z. e Y. è un reato oggettivamente molto grave sia per la pericolosità intrinseca della 'ndrangheta che per il fattivo e polivalente contributo da lui svolto al suo interno, nell'ambito delle armi, degli stupefacenti ma anche in generale nell'ambito logistico dal e nel nostro Paese. La 'ndrangheta ha grande bisogno di persone come A., non attive direttamente in omicidi o estorsioni, ma che agiscono il più possibile invisibilmente nelle retrovie (v. VARESE, Mafie in movimento, 2011, pag. 28 e segg.), per di più in una forma come quella della fornitura di armi, che assicura la potenza di fuoco per controllare i territori in cui essa è militarmente presente, con la scia di sangue che questo comporta.</w:t>
      </w:r>
    </w:p>
    <w:p>
      <w:r>
        <w:t>Fattore mediamente attenuante risulta essere il tempo trascorso dai fatti, visto che il reato partecipativo risale al periodo 2005-2011 per cui si applica la giurisprudenza di cui supra al consid. 3.1 in fine. La buona condotta negli ultimi due anni, risp. dopo la condanna, annullata, del 27 novembre 2018, appare come fattore neutro (v. più ampiamente la DTF 136 IV 1 consid. 2.6). Oggi A., anche per problemi di salute, appare provato da questo procedimento penale e dalle conseguenze economiche che esso comporta, vista anche la notorietà mediatica delle accuse nei suoi confronti. Non risulta però che la copertura mediatica sia stata così intensa da raggiungere la soglia prevista dalla giurisprudenza per</w:t>
      </w:r>
    </w:p>
    <w:p>
      <w:r>
        <w:t>- 11 - SK.2020.1 ammettere una mitigazione della pena (v. WIPRÄCHTIGER/KELLER, Commentario basilese, 4a ediz. 2019, n. 160 ad art. 47 e riferimenti giurisprudenziali). Il soprannome di “A. lo Svizzero” non è del resto un’invenzione né della giustizia penale né della stampa, ma viene dagli ambienti criminali stessi che l’imputato ha frequentato assiduamente (v. cl. 12 p. 18.101.0413; cl. 11 p. 18.101.0305 e 0345; cl. 7 p. 12.002.0053 e 0065; sentenza SK.2018.3 del 27 novembre 2018 consid. 9.3.8.5) e che in definitiva, perlomeno per un importante lasso di tempo della sua vita, si compiaceva di frequentare. L'imputato doveva fare i conti con il fatto che le sue condotte criminali, qualora fossero state smascherate, avrebbero trovato riscontro nei media. Evidentemente per i reati in questione vi è un interesse pubblico al procedimento. Attraverso le sue azioni, ha attirato l'interesse del pubblico e dei media stessi. Pertanto, l'interesse mediatico non comporta una riduzione della sanzione.</w:t>
      </w:r>
    </w:p>
    <w:p>
      <w:r>
        <w:t>Viste tutte le circostanze del caso, già per il solo reato di base, non può entrare in linea di conto una pena molto inferiore ai 3 anni di detenzione.</w:t>
      </w:r>
    </w:p>
    <w:p>
      <w:r>
        <w:rPr>
          <w:b/>
        </w:rPr>
        <w:t>E. 3.4.2</w:t>
      </w:r>
    </w:p>
    <w:p>
      <w:r>
        <w:t>Per quanto riguarda gli altri reati, va sottolineato il fatto che, data la loro gravità intrinseca, è escluso che anche solo per uno di essi possa entrare in linea di conto una pena pecuniaria o il lavoro di pubblica utilità, teoricamente ancora ipotizzabile al livello di diritto intertemporale. Tutti questi innumerevoli reati sono strettamente collegati e affondano le proprie radici nello stesso sottobosco criminale (crimine organizzato, armi, ricettazione). Anche a livello di prevenzione speciale per nessuna di queste fattispecie, analizzata singolarmente nel caso concreto, potrebbe essere presa in considerazione una pena che non sia la detenzione. Visto l'art. 49 cpv. 1 CP, la pena di base vicina ai 3 anni per la partecipazione va quindi adeguatamente aumentata per il concorso con il sostegno alle locali calabresi, con la ricettazione e con la ripetuta violazione della legge sulle armi. Si tratta di condotte che anche prese singolarmente sono oggettivamente gravi e di alto allarme sociale, in modo particolare il sostegno e la ripetuta violazione della legge sulle armi, le cui modalità di adempimento (quantità e varietà di armi e munizioni, magazzini carichi inseriti in pistole pronte all'uso) sono espressione di inquietante pericolosità. L'imputato non ha del resto manifestato pentimento di sorta sul fatto che un simile arsenale sia stato rinvenuto in locali di sua pertinenza, nemmeno nell’ultimo suo interrogatorio del 17 agosto 2020. Anche nell’ambito di questo secondo procedimento non è emersa alcuna presa di coscienza da parte dell’imputato dell’illegalità e gravità di quanto da lui commesso.</w:t>
      </w:r>
    </w:p>
    <w:p>
      <w:r>
        <w:rPr>
          <w:b/>
        </w:rPr>
        <w:t>E. 3.5</w:t>
      </w:r>
    </w:p>
    <w:p>
      <w:r>
        <w:t>La pena di base per la fattispecie partecipativa va dunque accresciuta per il concorso con i predetti reati e data la diversità delle pene in esame non può entrare in considerazione una pena complementare rispetto a quella di 30 aliquote</w:t>
      </w:r>
    </w:p>
    <w:p>
      <w:r>
        <w:t>- 12 - SK.2020.1 giornaliere inflitta l’8 dicembre 2015 nel Canton Berna. Anche per questi delitti, fattore mediamente attenuante risulta essere il tempo trascorso dai fatti (v. supra consid. 3.1 in fine, nonché consid. 3.4.1). La sanzione, tutto considerato, va pertanto fissata a 3 anni e 5 mesi di pena detentiva.</w:t>
      </w:r>
    </w:p>
    <w:p>
      <w:r>
        <w:t>Sulle misure</w:t>
      </w:r>
    </w:p>
    <w:p>
      <w:r>
        <w:t>4. 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giudice può ordinare che gli oggetti confiscati siano resi inservibili o distrutti.</w:t>
      </w:r>
    </w:p>
    <w:p>
      <w:r>
        <w:t>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w:t>
      </w:r>
    </w:p>
    <w:p>
      <w:r>
        <w:rPr>
          <w:b/>
        </w:rPr>
        <w:t>E. 4</w:t>
      </w:r>
    </w:p>
    <w:p>
      <w:r>
        <w:t>Interrogatorio in sede dibattimentale, anche a mezzo video, di L. e M.</w:t>
      </w:r>
    </w:p>
    <w:p>
      <w:r>
        <w:rPr>
          <w:b/>
        </w:rPr>
        <w:t>E. 4.1</w:t>
      </w:r>
    </w:p>
    <w:p>
      <w:r>
        <w:t>Il MPC ha chiesto la confisca degli oggetti già evidenziati in precedenza (v. supra lett. E.1). La difesa si è parzialmente opposta a tale richiesta (v. supra lett. E.2).</w:t>
      </w:r>
    </w:p>
    <w:p>
      <w:r>
        <w:rPr>
          <w:b/>
        </w:rPr>
        <w:t>E. 4.2</w:t>
      </w:r>
    </w:p>
    <w:p>
      <w:r>
        <w:t>Questa Corte ritiene che, dati i reati di alto allarme sociale per cui l’imputato è riconosciuto colpevole, tutte le armi (da fuoco, da taglio, da lancio e da percussione) e munizioni sequestrate vanno confiscate, eccettuato il predetto “cavetto in metallo” o “sega tascabile” (v. supra consid. 2.2). Il Tribunale federale non ha del resto messo in discussione questa parte della sentenza per cui valgono anche qui le premesse di cui sopra al consid. 2. In definitiva, vanno confiscati sulla base dell'art. 69 CP i seguenti oggetti:</w:t>
      </w:r>
    </w:p>
    <w:p>
      <w:r>
        <w:t>01.06.0001 Berretta con manico di legno 9x19 mm, modello 92FS, calibro 9 Parabellum, numero di serie ….., magazzino con 10 cartucce 9x19 mm e 5 cartucce di calibro non definito 01.06.0002 Arma da fuoco portatile marca Erma, modello EP 655, calibro 6.35/25, numero di serie ……, magazzino 6 cartucce calibro 6.35 01.07.0003 Nunchaku di metallo</w:t>
      </w:r>
    </w:p>
    <w:p>
      <w:r>
        <w:t>- 13 - SK.2020.1 01.07.0005 Proiettile 9x19 mm Parabellum 01.07.0006 4 proiettili di calibro inferiore a 4 mm 04.01.0021 Sacco di plastica contenente 11 cartucce Loose per fucile a pallini, una scatola Remington contenente 3 cartucce, una scatola Gros Gibier contenente una cartuccia 04.02.0008 Fionda</w:t>
      </w:r>
    </w:p>
    <w:p>
      <w:r>
        <w:t>04.02.0020 GPS Tracker incl. carta SIM 5 04.02.0042 Cartucce per fucile a pallini di cui 9 cartucce per fucile a canna Rottwil e 2 cartucce a pallini 7.5 Saga e un proiettile marca Geco per fucile a canna 04.02.0043</w:t>
      </w:r>
    </w:p>
    <w:p>
      <w:r>
        <w:rPr>
          <w:b/>
        </w:rPr>
        <w:t>E. 5</w:t>
      </w:r>
    </w:p>
    <w:p>
      <w:r>
        <w:t>cartucce calibro 7.65 Browning in contenitore nero 04.03.0004 Scatola delle cartucce per pistola 9 mm (contenente 50 pezzi) marca Geco 04.03.0005 Sacco di plastica contenente 3 scatole di cartucce 22 Long Rifle contenente 50 cartucce ciascuna 04.03.0007</w:t>
      </w:r>
    </w:p>
    <w:p>
      <w:r>
        <w:rPr>
          <w:b/>
        </w:rPr>
        <w:t>E. 5.1</w:t>
      </w:r>
    </w:p>
    <w:p>
      <w:r>
        <w:t>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w:t>
      </w:r>
    </w:p>
    <w:p>
      <w:r>
        <w:t>Le spese procedurali comprendono gli emolumenti e i disborsi (art. 1 cpv. 1 RSPPF). Gli emolumenti sono dovuti per le operazioni compiute o ordinate dalla PGF e dal MPC nella procedura preliminare, dalla Corte penale del Tribunale penale federale nella procedura di prima istanza,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Giusta l'art. 426 cpv. 1 CPP, in caso di condanna, l'imputato sostiene le spese procedurali. Sono eccettuate le spese per la difesa d'ufficio; è fatto salvo l'art. 135 cpv. 4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w:t>
      </w:r>
    </w:p>
    <w:p>
      <w:r>
        <w:t>L'art. 426 cpv. 1 CPP si basa sulla circostanza che la persona condannata sia la responsabile del procedimento penale aperto e condotto a suo carico ed è quindi tenuta ad accollarsi tutti i costi di procedura derivanti dal procedimento. Tuttavia, tra il comportamento criminale dell'accusato e i costi di procedura deve sussistere un nesso causale (SCHMID/JOSITSCH, Schweizerische Strafprozessordnung, Praxiskommentar, 3a ediz. 2017, n. 1 ad art. 426 CPP).</w:t>
      </w:r>
    </w:p>
    <w:p>
      <w:r>
        <w:t>Gli emolumenti sono fissati in funzione dell'ampiezza e della difficoltà della causa, del modo di condotta processuale, della situazione finanziaria delle parti e dell'onere della cancelleria (art. 5 RSPPF). Nelle cause giudicate dalla Corte penale nella composizione di tre giudici, l'emolumento di giustizia varia tra 1'000 e 100'000 franchi (art. 7 lett. b RSPPF).</w:t>
      </w:r>
    </w:p>
    <w:p>
      <w:r>
        <w:t>- 16 - SK.2020.1</w:t>
      </w:r>
    </w:p>
    <w:p>
      <w:r>
        <w:rPr>
          <w:b/>
        </w:rPr>
        <w:t>E. 5.2</w:t>
      </w:r>
    </w:p>
    <w:p>
      <w:r>
        <w:t>Al termine del procedimento SK.2018.3 per A. risultavano le seguenti spese procedurali comprensive di emolumenti e disborsi: emolumenti di istruttoria per fr. 16'000.–, emolumenti di giustizia per fr. 5'000.– e disborsi per fr. 72'009.80 (v. sentenza della Corte penale SK.2018.3 del 27 novembre 2018 consid. 18.1 e seg.).</w:t>
      </w:r>
    </w:p>
    <w:p>
      <w:r>
        <w:rPr>
          <w:b/>
        </w:rPr>
        <w:t>E. 5.2.1</w:t>
      </w:r>
    </w:p>
    <w:p>
      <w:r>
        <w:t>All’epoca la Corte ha ritenuto di porre a carico di A., condannato per sostegno e partecipazione ad un’organizzazione criminale, ricettazione e ripetuta infrazione alla legge federale sulle armi, un ammontare complessivo di fr. 30'000.– per le spese procedurali. Nell’accollare all’imputato tale somma, la Corte ha tenuto conto in particolare del parziale proscioglimento dell’imputato, della sua difficile situazione finanziaria e delle sue possibilità di reinserimento sociale (v. sentenza della Corte penale SK.2018.3 del 27 novembre 2018 consid. 18.3).</w:t>
      </w:r>
    </w:p>
    <w:p>
      <w:r>
        <w:rPr>
          <w:b/>
        </w:rPr>
        <w:t>E. 5.2.2</w:t>
      </w:r>
    </w:p>
    <w:p>
      <w:r>
        <w:t>Per quanto attiene alle spese stabilite nell’ambito della causa SK.2018.3, si rileva che gli elementi considerati e che hanno condotto al calcolo dell’importo finale di fr. 30'000.– ed elencati nel paragrafo che precede, permangono anche a seguito del rinvio dell’Alta Corte. Oggi A. viene condannato per un capo di imputazione in meno riguardo alla ripetuta violazione della legge federale sulle armi rispetto al giudizio precedente, ma ciò non incide sul calcolo delle spese a suo carico effettuato nel contesto della causa SK.2018.3, dal momento che le spese cagionate a quel tempo rimangono invariate.</w:t>
      </w:r>
    </w:p>
    <w:p>
      <w:r>
        <w:rPr>
          <w:b/>
        </w:rPr>
        <w:t>E. 5.2.3</w:t>
      </w:r>
    </w:p>
    <w:p>
      <w:r>
        <w:t>A. viene quindi condannato al pagamento delle spese procedurali cagionate nel contesto della causa SK.2018.3, in ragione di fr. 30'000.–.</w:t>
      </w:r>
    </w:p>
    <w:p>
      <w:r>
        <w:rPr>
          <w:b/>
        </w:rPr>
        <w:t>E. 5.3</w:t>
      </w:r>
    </w:p>
    <w:p>
      <w:r>
        <w:t>Con riferimento al presente procedimento SK.2020.1, ricordato che ai sensi dell'art. 7 lett. b RSPPF, nelle cause giudicate dalla Corte penale nella composizione di tre giudici, l'emolumento di giustizia varia tra i fr. 1'000.– e i fr. 100'000.–, questa Corte fissa l’emolumento a fr. 2'000.–.</w:t>
      </w:r>
    </w:p>
    <w:p>
      <w:r>
        <w:t>Tuttavia, tale importo viene posto a carico della Confederazione, non essendo dato nella procedura in oggetto il nesso causale, alla base dell'art. 426 cpv. 1 CPP, tra le spese del procedimento e il comportamento dell'imputato, dal momento che la presente causa è stata aperta a seguito di un rinvio dell'Alta Corte che ha in parte accolto il ricorso di A.</w:t>
      </w:r>
    </w:p>
    <w:p>
      <w:r>
        <w:t>- 17 - SK.2020.1 Sulla difesa d’ufficio</w:t>
      </w:r>
    </w:p>
    <w:p>
      <w:r>
        <w:t>6. 6.1 A. è assistito da un patrocinatore d'ufficio. Il difensore d'ufficio è retribuito secondo la tariffa d'avvocatura della Confederazione e l'autorità giudicante stabilisce l'importo della retribuzione al termine del procedimento (art. 135 cpv. 1 e 2 CPP). L'art. 135 cpv. 4 CPP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sentenza del Tribunale penale federale SK.2004.13 del 6 giugno 2005 consid. 13), la designazione di un difensore d'ufficio necessario crea una relazione di diritto pubblico tra lo Stato e il patrocinatore designato ed è compito dello Stato remunerare il medesimo, fermo restando che il prevenuto solvibile dovrà in seguito rimborsare tali costi.</w:t>
      </w:r>
    </w:p>
    <w:p>
      <w:r>
        <w:t>6.2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Dal 1° gennaio 2018 essa è del 7,7%.</w:t>
      </w:r>
    </w:p>
    <w:p>
      <w:r>
        <w:t>6.3 Nella fattispecie, l'indennità oraria è fissata a fr. 230.– (IVA non compresa), come da prassi in casi d'ordine corrente dinanzi a questa Corte (cfr. sentenza del Tribunale penale federale SK.2012.31 del 26 settembre 2012 consid. 3; sentenza del Tribunale federale 6B_118/2016 del 20 marzo 2017 consid. 4.4.2). Per i tempi di trasferta viene applicata una tariffa oraria di fr. 200.–.</w:t>
      </w:r>
    </w:p>
    <w:p>
      <w:r>
        <w:t>- 18 - SK.2020.1</w:t>
      </w:r>
    </w:p>
    <w:p>
      <w:r>
        <w:t>Nella causa SK.2018.3, la retribuzione dell’avvocato d’ufficio è stata fissata a fr. 54'643.35 (IVA inclusa). Nel presente procedimento, in linea con i corretti calcoli e le adeguate valutazioni della nota d’onorario del 17 agosto 2020 (v. cl. 23 p. 721.039), detta retribuzione va fissata a fr. 13'601.75 (IVA inclusa).</w:t>
      </w:r>
    </w:p>
    <w:p>
      <w:r>
        <w:t>6.4 All’epoca la Corte, tenuto conto segnatamene del grado di proscioglimento nonché della situazione personale dell’imputato, ha condannato A. al rimborso alla Confederazione di fr. 30'000.–, in applicazione dell’art. 135 cpv. 4 CPP, non appena le sue condizioni economiche glielo permetteranno.</w:t>
      </w:r>
    </w:p>
    <w:p>
      <w:r>
        <w:t>6.4.1 Per quanto attiene alla condanna a risarcire alla Confederazione questa somma, la Corte rileva che gli elementi allora considerati e che hanno condotto a limitare a fr. 30'000.– la somma da rimborsare permangono anche a seguito del rinvio dell’Alta Corte.</w:t>
      </w:r>
    </w:p>
    <w:p>
      <w:r>
        <w:t>6.4.2 A. è pertanto condannato a rimborsare alla Confederazione fr. 30'000.– non appena le sue condizioni economiche glielo permetteranno.</w:t>
      </w:r>
    </w:p>
    <w:p>
      <w:r>
        <w:t>- 19 - SK.2020.1 La Corte pronuncia: 1. A. è riconosciuto autore colpevole di:</w:t>
      </w:r>
    </w:p>
    <w:p>
      <w:r>
        <w:rPr>
          <w:b/>
        </w:rPr>
        <w:t>E. 10</w:t>
      </w:r>
    </w:p>
    <w:p>
      <w:r>
        <w:t>Il Canton Berna è designato Cantone cui compete l’esecuzione (art. 74 LOAP).</w:t>
      </w:r>
    </w:p>
    <w:p>
      <w:r>
        <w:t>In nome della Corte penale del Tribunale penale federale</w:t>
      </w:r>
    </w:p>
    <w:p>
      <w:r>
        <w:t>Il Presidente del collegio</w:t>
      </w:r>
    </w:p>
    <w:p>
      <w:r>
        <w:t>Il Cancelliere</w:t>
      </w:r>
    </w:p>
    <w:p>
      <w:r>
        <w:t>Intimazione:</w:t>
      </w:r>
    </w:p>
    <w:p>
      <w:r>
        <w:t>- Ministero pubblico della Confederazione, Procuratore federale Sergio Mastroianni, - Avv. Costantino Testa, Testa Advokatur &amp; Verwaltung,</w:t>
      </w:r>
    </w:p>
    <w:p>
      <w:r>
        <w:t>Dopo la crescita in giudicato la sentenza sarà comunicata a: - Ministero pubblico della Confederazione in qualità di autorità d'esecuzione.</w:t>
      </w:r>
    </w:p>
    <w:p>
      <w:r>
        <w:t>- 22 - SK.2020.1</w:t>
      </w:r>
    </w:p>
    <w:p>
      <w:r>
        <w:t>Informazione sui rimedi giuridici</w:t>
      </w:r>
    </w:p>
    <w:p>
      <w:r>
        <w:t>Reclamo alla Corte dei reclami penali del Tribunale penale federale 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a. la violazione del diritto, compreso l’eccesso e l’abuso del potere di apprezzamento e la denegata o ritardata giustizia; b. l’accertamento inesatto o incompleto dei fatti; c. l’inadeguatezza (art. 393 cpv. 2 CPP).</w:t>
      </w:r>
    </w:p>
    <w:p>
      <w:r>
        <w:t>Appello alla Corte d’appello del Tribunale penale federale</w:t>
      </w:r>
    </w:p>
    <w:p>
      <w:r>
        <w:t>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w:t>
      </w:r>
    </w:p>
    <w:p>
      <w:r>
        <w:t>Spedizione: 24 settembre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