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SK.2019.65 vom 14. November 2019</w:t>
      </w:r>
    </w:p>
    <w:p>
      <w:r>
        <w:t>Bundesstrafgericht, 2019-11-14, DE</w:t>
      </w:r>
    </w:p>
    <w:p>
      <w:r>
        <w:rPr>
          <w:b/>
        </w:rPr>
        <w:t xml:space="preserve">Quelle: </w:t>
      </w:r>
      <w:r>
        <w:t>https://mcp.opencaselaw.ch/entscheid/bstger_SK.2019.65</w:t>
      </w:r>
    </w:p>
    <w:p>
      <w:r>
        <w:t>FR: TPF SK.2019.65 du 14 novembre 2019</w:t>
      </w:r>
    </w:p>
    <w:p>
      <w:r>
        <w:t>IT: TPF SK.2019.65 del 14 novembre 2019</w:t>
      </w:r>
    </w:p>
    <w:p>
      <w:pPr>
        <w:pStyle w:val="Heading2"/>
      </w:pPr>
      <w:r>
        <w:t>Regeste</w:t>
      </w:r>
    </w:p>
    <w:p>
      <w:r>
        <w:t>Rückzug der Einsprache (Art. 356 Abs. 3 StPO)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September 2019 A. wegen mehrfachen in Umlaufsetzens falschen Geldes (Art. 242 Abs. 1 i.V.m. Art. 250 StGB), Lagerns falschen Geldes (Art. 244 Abs. 1 i.V.m. Art. 250 StGB) und Widerhandlung gegen das Waffengesetz (Art. 33 Abs. 1 lit. a i.V.m. Art. 4 Abs. 1 lit. e, Art. 8 Abs. 1 und Art. 12 WG) zu einer Geldstrafe von 90 Tagessätzen zu je Fr. 30.--, bedingt vollziehbar bei einer Probezeit von 2 Jahren, einer Busse von Fr. 500.-- und zur Bezahlung der Verfahrenskosten von Fr. 800.-- verurteilte (BA pag. 3.1.1, -4); - A. mit Schreiben vom 7. Oktober 2019 gegen den Strafbefehl Einsprache erhob (BA pag. 3.1.8); - die Bundesanwaltschaft am Strafbefehl festhielt (Art. 355 Abs. 3 lit. a StPO) und am 31. Oktober 2019 dem hiesigen Gericht den Strafbefehl als Anklageschrift zwecks Durchführung eines Hauptverfahrens überwies (Art. 356 Abs. 1 StPO); - das Gericht gemäss Art. 356 Abs. 2 StPO vorfrageweise über die Gültigkeit des Strafbefehls und der Einsprache entscheidet; - der Strafbefehl vom 23. September 2019 die in Art. 353 Abs. 1 StPO aufgelisteten Kriterien beinhaltet und gemäss Art. 353 Abs. 3 StPO formgerecht eröffnet wurde; - die Einsprache vom 7. Oktober 2019 form- und fristgerecht erfolgte (Art. 354 Abs. 1 lit. a und Abs. 2 StPO); - die Einsprache bis zum Schluss der Parteivorträge zurückgezogen werden kann (Art. 356 Abs. 3 StPO) und diesfalls der Strafbefehl zum Urteil wird und in Rechtskraft erwächst (RIKLIN, Basler Kommentar, 2. Aufl. 2014, Art. 356 StPO N. 4); - A. mit Schreiben vom 13. November 2019 die Einsprache innert vorgenanntem Zeitraum zurückzog (TPF pag. 2.521.2); - der Strafbefehl der Bundesanwaltschaft vom 23. September 2019 somit zum Urteil wird und in Rechtskraft erwächst; - das Verfahren SK.2019.65 infolgedessen als gegenstandslos abzuschreiben ist; - sich die Kosten des gerichtlichen Verfahrens und deren Verlegung grundsätzlich nach den Art. 422 – 428 StPO bestimmen; - zur Regelung der Kostenfolge bei der Gegenstandslosigkeit des Verfahrens grundsätzlich auf das allgemeine Kriterium abzustellen ist, wonach die entstandenen</w:t>
      </w:r>
    </w:p>
    <w:p>
      <w:r>
        <w:t>- 3 - Verfahrenskosten von jener Partei zu tragen sind, die das gegenstandslos gewordene Verfahren verursacht hat (vgl. Urteil des Bundesgerichts 2C_237/2009 vom</w:t>
      </w:r>
    </w:p>
    <w:p>
      <w:r>
        <w:rPr>
          <w:b/>
        </w:rPr>
        <w:t>E. 28</w:t>
      </w:r>
    </w:p>
    <w:p>
      <w:r>
        <w:t>September 2009 E. 3.3); - A. durch den Rückzug der Einsprache die Gegenstandslosigkeit des Verfahrens SK.2019.65 verursacht hat; - wenn der Einspracherückzug nach Überweisung der Akten an das erstinstanzliche Gericht erfolgt (Art. 356 Abs. 1 StPO), die Rückzug erklärende Person die Kosten zu tragen hat (statt vieler: Verfügung des Bundesstrafgerichts SK.2019.40 vom 11. September 2019; DAPHINOFF, Das Strafbefehlsverfahren in der Schweizerischen Strafprozessordnung, Diss. 2012, S. 626; GILLIÉRON/KILLIAS, Commentaire Romand, Code de procédure pénale suisse, 2011, Art. 356 StPO N. 14); - A. demnach die Kosten des Verfahrens zu tragen hat; - neben den im (nun rechtskräftigen) Strafbefehl auferlegten Kosten für das Strafbefehlsverfahren zusätzlich die Kosten für die nach der Einspracheerhebung vorgenommenen Verfahrensschritte hinzukommen (DAPHINOFF, a.a.O., S. 626); - in Anwendung von Art. 73 Abs. 1 lit. a und b des Bundesgesetzes über die Organi- sation der Strafbehörden des Bundes vom 19. März 2010 (StBOG; SR 173.71) i.V.m. Art. 1 Abs. 4, Art. 5 und Art. 7 lit. a des Reglements des Bundesstrafgerichts vom</w:t>
      </w:r>
    </w:p>
    <w:p>
      <w:r>
        <w:rPr>
          <w:b/>
        </w:rPr>
        <w:t>E. 31</w:t>
      </w:r>
    </w:p>
    <w:p>
      <w:r>
        <w:t>August 2010 über die Kosten, Gebühren und Entschädigungen in Bundesstraf- verfahren (BStKR; SR 173.713.162) eine minimale Pauschalgebühr von Fr. 200.-- festzusetzen ist.</w:t>
      </w:r>
    </w:p>
    <w:p>
      <w:r>
        <w:t>- 4 - Der Einzelrichter erkennt: 1. Das Verfahren SK.2019.65 wird infolge Rückzugs der Einsprache als gegenstandslos abgeschrieben. 2. Die Verfahrenskosten von Fr. 200.-- werden A. auferlegt. 3. Diese Verfügung wird den Parteien schriftlich eröffnet.</w:t>
      </w:r>
    </w:p>
    <w:p>
      <w:r>
        <w:t>Im Namen der Strafkammer des Bundesstrafgerichts</w:t>
      </w:r>
    </w:p>
    <w:p>
      <w:r>
        <w:t>Der Einzelrichter Der Gerichtsschreiber</w:t>
      </w:r>
    </w:p>
    <w:p>
      <w:r>
        <w:t>Geht an (Einschreiben)  Bundesanwaltschaft, Frau Simone Meyer-Burger, Staatsanwältin des Bundes,  Herrn Rechtsanwalt Oliver Lücke, Verteidiger vom A. (Beschuldigter) B. GmbH, vertreten durch C. (Privatklägerschaft)</w:t>
      </w:r>
    </w:p>
    <w:p>
      <w:r>
        <w:t>Nach Eintritt der Rechtskraft mitzuteilen an  Bundesanwaltschaft als Vollzugsbehörde (vollständig)</w:t>
      </w:r>
    </w:p>
    <w:p>
      <w:r>
        <w:t>- 5 - 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>
      <w:r>
        <w:t>Versand: 14.11.2019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