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SK.2019.60 vom 10. Januar 2020</w:t>
      </w:r>
    </w:p>
    <w:p>
      <w:r>
        <w:t>Bundesstrafgericht, 2020-01-10, FR</w:t>
      </w:r>
    </w:p>
    <w:p>
      <w:r>
        <w:rPr>
          <w:b/>
        </w:rPr>
        <w:t xml:space="preserve">Quelle: </w:t>
      </w:r>
      <w:r>
        <w:t>https://mcp.opencaselaw.ch/entscheid/bstger_SK.2019.60</w:t>
      </w:r>
    </w:p>
    <w:p>
      <w:r>
        <w:t>FR: TPF SK.2019.60 du 10 janvier 2020</w:t>
      </w:r>
    </w:p>
    <w:p>
      <w:r>
        <w:t>IT: TPF SK.2019.60 del 10 gennaio 2020</w:t>
      </w:r>
    </w:p>
    <w:p>
      <w:pPr>
        <w:pStyle w:val="Heading2"/>
      </w:pPr>
      <w:r>
        <w:t>Regeste</w:t>
      </w:r>
    </w:p>
    <w:p>
      <w:r>
        <w:t>Importation, acquisition et prise en dépôt de fausse monnaie (art. 244 CP)</w:t>
      </w:r>
    </w:p>
    <w:p>
      <w:pPr>
        <w:pStyle w:val="Heading2"/>
      </w:pPr>
      <w:r>
        <w:t>Erwägungen</w:t>
      </w:r>
    </w:p>
    <w:p>
      <w:r>
        <w:rPr>
          <w:b/>
        </w:rPr>
        <w:t>E. 1.1</w:t>
      </w:r>
    </w:p>
    <w:p>
      <w:r>
        <w:t>En cas d’opposition à l’ordonnance pénale, le ministère public administre les autres preuves nécessaires au jugement de l’opposition (art. 355 al. 1 CPP). Aux termes de l’art. 356 CPP, lorsque le ministère public décide de maintenir l’ordon- nance pénale, il transmet sans retard le dossier au tribunal de première instance en vue des débats. L’ordonnance pénale tient lieu d’acte d’accusation (al. 1). Le tribunal de première instance statue sur la validité de l’ordonnance pénale et de l’opposition (al. 2). Si l’opposition ne porte que sur les frais et les indemnités ou d’autres conséquences accessoires, le tribunal statue par écrit, à moins que l’op- posant ne demande expressément des débats (al. 6). Cette dernière disposition règle le cas de l’opposition partielle qui ne porte que sur les conséquences de l’ordonnance pénale. Dans cette procédure d’opposition partielle, le tribunal ne se prononce que sur les conséquences accessoires de l’ordonnance pénale, sans que la culpabilité du prévenu ne soit remise en cause. Le prononcé du tri- bunal revêt alors la forme d’une décision ou d’une ordonnance susceptible de recours (GWLADYS GILLIÉRON/MARTIN KILLIAS, in Commentaire romand, Code de procédure pénale suisse, 2e éd., 2019, n° 16 ad art. 356 CPP; LAURENT MOREIL- LON/AUDE PAREIN-RAYMOND, Petit Commentaire, Code de procédure pénale, 2e éd., 2016, nos 19 et 20 ad art. 356 CPP et la référence citée).</w:t>
      </w:r>
    </w:p>
    <w:p>
      <w:r>
        <w:rPr>
          <w:b/>
        </w:rPr>
        <w:t>E. 1.2</w:t>
      </w:r>
    </w:p>
    <w:p>
      <w:r>
        <w:t>En l’espèce, lors de la transmission du dossier à la Cour en vue des débats, le MPC a indiqué que l’opposition d’A. à l’ordonnance pénale du 3 décembre 2013 était limitée à l’exécution de la peine privative de liberté de 30 jours prononcée à son encontre, ce que l’intéressé a confirmé après avoir été interpellé par la Cour.</w:t>
      </w:r>
    </w:p>
    <w:p>
      <w:r>
        <w:t>- 5 - Dans la mesure où la culpabilité du prénommé n’est pas remise en cause, la procédure d’opposition est limitée à une conséquence accessoire, à savoir l’exé- cution de la peine privative de liberté prononcée contre A. le 3 décembre 2013. Le prénommé ayant expressément renoncé à la tenue de débats, il se justifie de statuer par écrit sous la forme d’une ordonnance susceptible de recours (art. 356 al. 6 CPP).</w:t>
      </w:r>
    </w:p>
    <w:p>
      <w:r>
        <w:rPr>
          <w:b/>
        </w:rPr>
        <w:t>E. 2.1</w:t>
      </w:r>
    </w:p>
    <w:p>
      <w:r>
        <w:t>Il ressort des actes de la cause qu’A. a été condamné le 3 décembre 2013 à une peine privative de liberté de 30 jours par ordonnance pénale du MPC. Selon le chiffre 5 du dispositif de l’ordonnance pénale, le MPC a désigné les autorités du canton de Genève pour l’exécution de la peine (art. 74 LOAP). Le 16 novembre 2016, A. a été condamné à une peine privative de liberté de cinq ans et six mois par jugement du Tribunal pénal de l’arrondissement de la Sarine, peine confirmée en appel par arrêt du 29 septembre 2017 du Tribunal cantonal du canton de Fri- bourg. A la suite de ce dernier arrêt, le SESPP a informé A. le 9 juillet 2018 qu’il avait demandé au Service de l’application des peines et mesures du canton de Genève de lui déléguer l’exécution de la peine privative de liberté de 30 jours précitée, en application des art. 4 et 14 O-CP-CPM, afin qu’elle puisse être exé- cutée simultanément aux autres peines privatives de liberté qu’il devait purger. Selon la décision de libération conditionnelle du 25 juillet 2018, le Service de l’application des peines et des mesures du canton de Genève a accepté de dé- léguer au SESPP l’exécution de la peine privative de liberté de 30 jours découlant de l’ordonnance pénale du 3 décembre 2013. Cette décision indique que le SESPP est également compétent pour l’exécution des autres peines privatives de liberté à purger par A., vu qu’elles ont toutes été prononcées par des autorités fribourgeoises, y compris celles résultant de la conversion d’amendes impayées (sur la compétence du SESPP en matière d’exécution des peines, cf. l’art. 7 de la loi sur l'exécution des peines et des mesures du canton de Fribourg, du 7 oc- tobre 2016 [RSF 340.1]). Il s’ensuit que l’exécution des peines privatives de li- berté qu’A. devait purger, dont celle de 30 jours résultant de l’ordonnance pénale du 3 décembre 2013, ont relevé de la seule compétence du SESPP.</w:t>
      </w:r>
    </w:p>
    <w:p>
      <w:r>
        <w:rPr>
          <w:b/>
        </w:rPr>
        <w:t>E. 2.2</w:t>
      </w:r>
    </w:p>
    <w:p>
      <w:r>
        <w:t>Selon les informations émanant du SESPP, A. a bénéficié d’une libération condi- tionnelle dès le 27 juillet 2018, avec un délai d’épreuve fixé au 22 septembre 2019 correspondant à la durée du solde de peines de 422 jours. Il ressort de la décision de libération conditionnelle du 25 juillet 2018 et de la lettre du 13 no- vembre 2019 du SESPP que ce service a pris en considération la peine privative de liberté de 30 jours prononcée contre A. le 3 décembre 2013 lors du calcul des deux tiers de la peine au sens de l’art. 86 al. 1 CP et du solde de la peine au sens</w:t>
      </w:r>
    </w:p>
    <w:p>
      <w:r>
        <w:t>- 6 - de l’art. 87 al. 1 CP. A la demande de la Cour, le SESPP a confirmé le 13 no- vembre 2019 qu’A. avait exécuté la peine privative de liberté de 30 jours résultant de l’ordonnance pénale du 3 décembre 2013 et que cette peine avait été prise en considération lors de l’octroi de la libération conditionnelle par décision du 25 juillet 2018. Ces affirmations sont corroborées par la fiche d’identité d’A. établie par le SESPP, qui a été transmise à la Cour le 13 novembre 2019, et de laquelle il ressort qu’A. a été soumis au régime ordinaire (art. 77 CP) pour l’exécution de la peine privative de liberté de 30 jours précitée. L’exécution de cette peine a relevé de la seule compétence du SESPP, comme relevé précédemment, et il n’y a aucune raison de douter de la véracité des informations émanant de ce service. Dans ces circonstances, il y a lieu de constater qu’A. a exécuté cette peine privative de liberté, comme il l’a affirmé, ce que le MPC a d’ailleurs reconnu après avoir pris connaissance des explications du SESPP. Considérée sous cet angle, l’opposition d’A. à l’ordonnance pénale du 3 décembre 2013 paraissait fondée et on peut considérer qu’il a obtenu gain de cause sur ce point.</w:t>
      </w:r>
    </w:p>
    <w:p>
      <w:r>
        <w:rPr>
          <w:b/>
        </w:rPr>
        <w:t>E. 2.3</w:t>
      </w:r>
    </w:p>
    <w:p>
      <w:r>
        <w:t>Dans ses observations écrites du 13 décembre 2019, A. a estimé que le MPC devait rendre une nouvelle ordonnance pénale à son encontre l’exemptant de toute peine. Cependant, il n’a fourni aucun élément de nature à mettre en doute la validité de l’ordonnance pénale du 3 décembre 2013. En outre, la possibilité pour le ministère public de rendre une nouvelle ordonnance pénale ensuite d’une opposition à une première ordonnance pénale (art. 355 al. 3 let. c CPP) présup- pose soit une modification de l'état de fait (résultant ou non d'un complément d'instruction) susceptible d'influencer la qualification de l'infraction ou la quotité de la peine, soit une nouvelle appréciation juridique des mêmes faits dans l'op- tique d'une qualification différente (arrêt du Tribunal fédéral 6B_1321/2018 du 26 septembre 2019 destiné à la publication, consid. 1.3.3 et les références). De pa- reilles circonstances ne sont pas réunies en l’espèce. En effet, A. n’a pas remis en cause les faits décrits dans l’ordonnance pénale du 3 décembre 2013, ni leur appréciation juridique par le MPC. Au contraire, il a choisi de restreindre son op- position à la seule exécution de la peine privative de liberté de 30 jours prononcée à son encontre. Dans ces conditions, il n’appartenait pas au MPC de rendre une nouvelle ordonnance pénale ensuite de l’opposition d’A. à l’ordonnance pénale du 3 décembre 2013. Le prénommé ne peut donc pas être suivi sur ce point.</w:t>
      </w:r>
    </w:p>
    <w:p>
      <w:r>
        <w:rPr>
          <w:b/>
        </w:rPr>
        <w:t>E. 3</w:t>
      </w:r>
    </w:p>
    <w:p>
      <w:r>
        <w:t>En définitive, il est constaté qu’A. a exécuté la peine privative de liberté de 30 jours à laquelle il a été condamné par ordonnance pénale du 3 décembre 2013 du MPC dans la procédure SV.13.1489-SCL.</w:t>
      </w:r>
    </w:p>
    <w:p>
      <w:r>
        <w:rPr>
          <w:b/>
        </w:rPr>
        <w:t>E. 4</w:t>
      </w:r>
    </w:p>
    <w:p>
      <w:r>
        <w:t>Il n’est pas perçu de frais pour la présente ordonnance.</w:t>
      </w:r>
    </w:p>
    <w:p>
      <w:r>
        <w:t>- 7 -</w:t>
      </w:r>
    </w:p>
    <w:p>
      <w:r>
        <w:rPr>
          <w:b/>
        </w:rPr>
        <w:t>E. 5</w:t>
      </w:r>
    </w:p>
    <w:p>
      <w:r>
        <w:t>A. ayant partiellement obtenu gain de cause, il se justifie de lui allouer une in- demnité de 300 fr. à titre de dépens pour la présente procédure, à la charge de la Confédération suisse (art. 436 al. 2 CPP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