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SK.2018.65 vom 28. August 2019</w:t>
      </w:r>
    </w:p>
    <w:p>
      <w:r>
        <w:t>Bundesstrafgericht, 2019-08-28, DE</w:t>
      </w:r>
    </w:p>
    <w:p>
      <w:r>
        <w:rPr>
          <w:b/>
        </w:rPr>
        <w:t xml:space="preserve">Quelle: </w:t>
      </w:r>
      <w:r>
        <w:t>https://mcp.opencaselaw.ch/entscheid/bstger_SK.2018.65</w:t>
      </w:r>
    </w:p>
    <w:p>
      <w:r>
        <w:t>FR: TPF SK.2018.65 du 28 août 2019</w:t>
      </w:r>
    </w:p>
    <w:p>
      <w:r>
        <w:t>IT: TPF SK.2018.65 del 28 agosto 2019</w:t>
      </w:r>
    </w:p>
    <w:p>
      <w:pPr>
        <w:pStyle w:val="Heading2"/>
      </w:pPr>
      <w:r>
        <w:t>Regeste</w:t>
      </w:r>
    </w:p>
    <w:p>
      <w:r>
        <w:t>Rückweisung BGer; Zivilforderung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2019 beantragte, A. sei zu verurteilen, ihr Schadenersatz in Höhe von Fr. 840‘000.–, EUR 350'000.– und USD 70'000.– zzgl. 6 % Zins seit 1. Oktober 2004 zu bezahlen, unter Kosten- und Entschädigungsfolgen zu Lasten des Beklagten (TPF pag. 551.4); - sich A. nicht vernehmen liess; - A. am 5. März 2019 verstarb (TPF pag. 551.430); - die Strafkammer daraufhin die B. S.A. sowie die Witwe von A. C. einlud, zu allfälligen Rechtsfolgen des Ablebens des Beklagten für das Adhäsionsverfahren Stellung zu nehmen (TPF pag. 400.2); - die B. S.A. mit Eingabe ihres Rechtsvertreters vom 17. Juni 2019 an ihrer Zivilforde- rung festhielt und die Weiterführung des Verfahrens gegen die Erbmasse bzw. die Konkursmasse von A. beantragte (TPF pag. 551.420); - sich C. nicht zur Sache vernehmen liess (TPF pag. 521.1); - die Erbschaft von A. von allen gesetzlichen Erben ausgeschlagen wurde; - infolgedessen das Bezirksgericht Laufenburg am 14. Juni 2019 eine – durch das Kon- kursamt Aargau, Dienststelle Brugg durchzuführende – konkursamtliche Nachlassli- quidation im Sinne von Art. 573 ZGB anordnete (TPF pag. 551.430);</w:t>
      </w:r>
    </w:p>
    <w:p>
      <w:r>
        <w:t>- 3 - - die geschädigte Person zivilrechtliche Ansprüche gegen den Beschuldigten aus der Straftat als Privatklägerschaft adhäsionsweise im Strafverfahren geltend machen kann (Art. 122 Abs. 1 StPO); - der Adhäsionsprozess seiner Natur nach ein in den Strafprozess integrierter Zivilpro- zess ist, die Adhäsionsklage somit vom Bestand des Strafprozesses abhängig ist (DOLGE, Basler Kommentar, 2. Aufl. 2014, Art. 122 StPO N 7, 9; LIEBER, in: Donatsch/ Hansjakob/Lieber [Hrsg.], Kommentar zur schweizerischen Strafprozessordnung,</w:t>
      </w:r>
    </w:p>
    <w:p>
      <w:r>
        <w:rPr>
          <w:b/>
        </w:rPr>
        <w:t>E. 2</w:t>
      </w:r>
    </w:p>
    <w:p>
      <w:r>
        <w:t>Es wird keine Entschädigung zugesprochen.</w:t>
      </w:r>
    </w:p>
    <w:p>
      <w:r>
        <w:rPr>
          <w:b/>
        </w:rPr>
        <w:t>E. 3</w:t>
      </w:r>
    </w:p>
    <w:p>
      <w:r>
        <w:t>Es werden keine Kosten erhoben. Dieser Beschluss wird der B. S.A. schriftlich eröffnet und der Bundesanwaltschaft sowie dem Konkursamt Aargau, Dienststelle Brugg in Kopie zugestellt.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