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SK.2018.54 vom 6. Dezember 2018</w:t>
      </w:r>
    </w:p>
    <w:p>
      <w:r>
        <w:t>Bundesstrafgericht, 2018-12-06, DE</w:t>
      </w:r>
    </w:p>
    <w:p>
      <w:r>
        <w:rPr>
          <w:b/>
        </w:rPr>
        <w:t xml:space="preserve">Quelle: </w:t>
      </w:r>
      <w:r>
        <w:t>https://mcp.opencaselaw.ch/entscheid/bstger_SK.2018.54</w:t>
      </w:r>
    </w:p>
    <w:p>
      <w:r>
        <w:t>FR: TPF SK.2018.54 du 6 décembre 2018</w:t>
      </w:r>
    </w:p>
    <w:p>
      <w:r>
        <w:t>IT: TPF SK.2018.54 del 6 dicembre 2018</w:t>
      </w:r>
    </w:p>
    <w:p>
      <w:pPr>
        <w:pStyle w:val="Heading2"/>
      </w:pPr>
      <w:r>
        <w:t>Regeste</w:t>
      </w:r>
    </w:p>
    <w:p>
      <w:r>
        <w:t>Mehrfache Urkundenfälschung (Art. 251 Ziff. 1 StGB) sowie Versuch dazu (Art. 22 Abs. 1), gewerbsmässiger Betrug (Art. 146 Abs. 1 i.V.m. Abs. 2 StGB), eventualiter mehrfache Veruntreuung (Art. 138 Ziff. 1 Abs. 2 StGB), subeventualiter qualifizierte ungetreue Geschäftsbesorgung (Art. 158 Ziff. 1 Abs. 1 i.V.m. Abs. 3 StGB), Misswirtschaft (Art. 165 StGB), gewerbsmässige Geldwäscherei (Art. 305bis Ziff. 1 i.V.m. Ziff. 2 lit. c StGB); Rückweisung an BA</w:t>
      </w:r>
    </w:p>
    <w:p>
      <w:pPr>
        <w:pStyle w:val="Heading2"/>
      </w:pPr>
      <w:r>
        <w:t>Erwägungen</w:t>
      </w:r>
    </w:p>
    <w:p>
      <w:r>
        <w:rPr>
          <w:b/>
        </w:rPr>
        <w:t>E. 1</w:t>
      </w:r>
    </w:p>
    <w:p>
      <w:r>
        <w:t>B. AG, vertreten durch Rechtsanwalt Thomas Sprenger,</w:t>
      </w:r>
    </w:p>
    <w:p>
      <w:r>
        <w:rPr>
          <w:b/>
        </w:rPr>
        <w:t>E. 2</w:t>
      </w:r>
    </w:p>
    <w:p>
      <w:r>
        <w:t>C. AG, vertreten durch Rechtsanwalt Andreas Bättig,</w:t>
      </w:r>
    </w:p>
    <w:p>
      <w:r>
        <w:rPr>
          <w:b/>
        </w:rPr>
        <w:t>E. 3</w:t>
      </w:r>
    </w:p>
    <w:p>
      <w:r>
        <w:t>D. SA, vertreten durch Rechtsanwalt Reto Marbacher,</w:t>
      </w:r>
    </w:p>
    <w:p>
      <w:r>
        <w:rPr>
          <w:b/>
        </w:rPr>
        <w:t>E. 4</w:t>
      </w:r>
    </w:p>
    <w:p>
      <w:r>
        <w:t>Diesen Erfordernissen genügt die Anklageschrift nicht. Vorab lässt sie Angaben zum Zeitpunkt der einzelnen Tathandlungen weitgehend bzw. in einzelnen An- klagepunkten gänzlich (so etwa bei der Urkundenfälschung) vermissen. Die be- treffenden Angaben sind von Gesetzes wegen zwingend und in casu insbeson-</w:t>
      </w:r>
    </w:p>
    <w:p>
      <w:r>
        <w:t>- 4 - dere im Hinblick auf die Verjährungsproblematik (vgl. dazu nachfolgend) von Re- levanz. Im Weiteren verweist die Anklageschrift mehrfach (z.B. in den Fn. 1187, 1193, 1406) bezüglich der Details zu den einzelnen zur Anklage gebrachten Vor- gängen auf Aktennotizen I bis IV zur Anklageschrift (BA Akten, Rubrik 14). Mit diesen Verweisen wird der Anklagesachverhalt effektiv über den Anklagetext hin- aus erweitert, ohne dass die betreffenden Stellen als integrierender Bestandteil der Anklage (z.B. als Anhang) bezeichnet würden. Nach dem Gesagten verletzt die Anklageschrift das Anklageprinzip, weshalb sie an die Bundesanwaltschaft zurückzuweisen ist.</w:t>
      </w:r>
    </w:p>
    <w:p>
      <w:r>
        <w:rPr>
          <w:b/>
        </w:rPr>
        <w:t>E. 5</w:t>
      </w:r>
    </w:p>
    <w:p>
      <w:r>
        <w:t>Zudem ist die Anklage aus folgendem Grund zu beanstanden: Die angeklagten Taten fallen in den Zeitraum zwischen 2002 bis 2010. Die massgebende Verjäh- rungsfrist für alle angeklagten Delikte beträgt 15 Jahre (Art. 70 al. 2 i.V.m. 72 Ziff. 2 aStGB in der bis 30. September 2002 geltenden Fassung resp. Art. 97 Abs. 1 lit. b StGB). Eine – den Eintritt der Verjährung ausschliessende – tatbestandliche Handlungseinheit ist vorliegend nicht gegeben (vgl. BGE 124 IV 59 E. 3). Ange- sichts des langen Tatzeitraums fällt auch eine natürliche Handlungseinheit a pri- ori nicht in Betracht (vgl. BGE 131 IV 83 E. 2.4.6; Urteil des Bundesstrafgerichts SK.2015.44 vom 30. September 2016 und 30. März 2017 E. II.3). Sofern die an- geklagten Taten mehr als 15 Jahre zurück liegen, sind sie mithin verjährt; es liegt insoweit ein Verfahrenshindernis im Sinne von Art. 329 Abs. 1 lit. c StPO vor. Aufgrund der fehlenden Zeitangaben in der Anklageschrift ist es dem Gericht nicht möglich, abschliessend festzustellen, welche Handlungen von der Verjäh- rung betroffen sind, und das Verfahren in Anwendung von Art. 329 Abs. 4 StPO im entsprechenden Umfang einzustellen. Es obliegt der Anklagebehörde, Hand- lungen, die im Zeitpunkt der Wiedereinreichung der Anklage mehr als 15 Jahre zurückliegen werden, von der Anklage auszuscheiden und ggf. einzustellen.</w:t>
      </w:r>
    </w:p>
    <w:p>
      <w:r>
        <w:rPr>
          <w:b/>
        </w:rPr>
        <w:t>E. 6</w:t>
      </w:r>
    </w:p>
    <w:p>
      <w:r>
        <w:t>Das Verfahren wird sistiert. Die Rechtshängigkeit wird wieder auf die Bundes- anwaltschaft übertragen.</w:t>
      </w:r>
    </w:p>
    <w:p>
      <w:r>
        <w:rPr>
          <w:b/>
        </w:rPr>
        <w:t>E. 7</w:t>
      </w:r>
    </w:p>
    <w:p>
      <w:r>
        <w:t>Abschliessend ist Folgendes festzuhalten: Vorliegend handelt es sich um einen Fall der notwendigen Verteidigung (Art. 130 lit. a, b und d StPO). Aus dem Über- mittlungsschreiben der Bundesanwaltschaft vom 28. September 2018 geht her- vor, dass eine effektive Verteidigung der Beschuldigten durch ihren aktuellen er- betenen Verteidiger Rechtsanwalt Georg Wohl aus gesundheitlichen Gründen nicht gewährleistet ist. Die Bundesanwaltschaft regt deshalb an, der Beschuldig-</w:t>
      </w:r>
    </w:p>
    <w:p>
      <w:r>
        <w:t>- 5 - ten einen zweiten Verteidiger amtlich beizuordnen. Nachdem die Verfahrenslei- tung wieder an die Bundesanwaltschaft übergeht, muss diese die notwendige Verteidigung sicherstellen.</w:t>
      </w:r>
    </w:p>
    <w:p>
      <w:r>
        <w:rPr>
          <w:b/>
        </w:rPr>
        <w:t>E. 8</w:t>
      </w:r>
    </w:p>
    <w:p>
      <w:r>
        <w:t>Gleich verhält es sich in Bezug auf die im Übermittlungsschreiben thematisierte Herausgabe bestimmter Gegenstände an den vormals Mitbeschuldigten F. ge- mäss der rechtskräftigen Einstellungsverfügung der Bundesanwaltschaft vom 30. Juli 2018. Es obliegt der Bundesanwaltschaft, den Vollzug sicherzustellen.</w:t>
      </w:r>
    </w:p>
    <w:p>
      <w:r>
        <w:rPr>
          <w:b/>
        </w:rPr>
        <w:t>E. 9</w:t>
      </w:r>
    </w:p>
    <w:p>
      <w:r>
        <w:t>Für diesen Entscheid sind keine Kosten zu erheben.</w:t>
      </w:r>
    </w:p>
    <w:p>
      <w:r>
        <w:t>- 6 - Die Strafkammer beschliesst: 1. Die Anklage wird zur Verbesserung im Sinne der Erwägungen an die Bundesan- waltschaft zurückgewiesen. 2. Das Verfahren wird sistiert. 3. Die Rechtshängigkeit geht an die Bundesanwaltschaft über. 4. Es werden keine Kosten erhoben. 5. Dieser Beschluss wird den Parteien mitgeteilt. Im Namen der Strafkammer des Bundesstrafgerichts</w:t>
      </w:r>
    </w:p>
    <w:p>
      <w:r>
        <w:t>Der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