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SK.2017.74 vom 13. August 2018</w:t>
      </w:r>
    </w:p>
    <w:p>
      <w:r>
        <w:t>Bundesstrafgericht, 2018-08-13, FR</w:t>
      </w:r>
    </w:p>
    <w:p>
      <w:r>
        <w:rPr>
          <w:b/>
        </w:rPr>
        <w:t xml:space="preserve">Quelle: </w:t>
      </w:r>
      <w:r>
        <w:t>https://mcp.opencaselaw.ch/entscheid/bstger_SK.2017.74</w:t>
      </w:r>
    </w:p>
    <w:p>
      <w:r>
        <w:t>FR: TPF SK.2017.74 du 13 août 2018</w:t>
      </w:r>
    </w:p>
    <w:p>
      <w:r>
        <w:t>IT: TPF SK.2017.74 del 13 agosto 2018</w:t>
      </w:r>
    </w:p>
    <w:p>
      <w:pPr>
        <w:pStyle w:val="Heading2"/>
      </w:pPr>
      <w:r>
        <w:t>Regeste</w:t>
      </w:r>
    </w:p>
    <w:p>
      <w:r>
        <w:t>Falsification des timbres officiels de valeur (art. 245 CP).</w:t>
      </w:r>
    </w:p>
    <w:p>
      <w:pPr>
        <w:pStyle w:val="Heading2"/>
      </w:pPr>
      <w:r>
        <w:t>Erwägungen</w:t>
      </w:r>
    </w:p>
    <w:p>
      <w:r>
        <w:rPr>
          <w:b/>
        </w:rPr>
        <w:t>E. 1</w:t>
      </w:r>
    </w:p>
    <w:p>
      <w:r>
        <w:t>al. 1 CP).</w:t>
      </w:r>
    </w:p>
    <w:p>
      <w:r>
        <w:rPr>
          <w:b/>
        </w:rPr>
        <w:t>E. 2</w:t>
      </w:r>
    </w:p>
    <w:p>
      <w:r>
        <w:t>Il est condamné à une peine-pécuniaire de 10 jours-amende, le montant du jour- amende étant fixé à CHF 10.--.</w:t>
      </w:r>
    </w:p>
    <w:p>
      <w:r>
        <w:rPr>
          <w:b/>
        </w:rPr>
        <w:t>E. 3</w:t>
      </w:r>
    </w:p>
    <w:p>
      <w:r>
        <w:t>Il est mis au bénéfice du sursis à l'exécution de la peine avec un délai d'épreuve de deux ans (art. 42 al. 1 CP).</w:t>
      </w:r>
    </w:p>
    <w:p>
      <w:r>
        <w:t>II. La vignette autoroutière 2016 n° 1 est confisquée et détruite (art. 249 al. 1 CP).</w:t>
      </w:r>
    </w:p>
    <w:p>
      <w:r>
        <w:t>III.</w:t>
      </w:r>
    </w:p>
    <w:p>
      <w:r>
        <w:t>1. Les émoluments judiciaires se chiffrent à CHF 500.-- (sans motivation écrite du ju- gement: CHF 300.--). Les autres frais de procédure se chiffrent à CHF 300.-- (émo- luments et débours de la procédure préliminaire inclus).</w:t>
      </w:r>
    </w:p>
    <w:p>
      <w:r>
        <w:t>2. Les frais de procédure sont mis à la charge de A. (art. 426 al. 1 CPP).</w:t>
      </w:r>
    </w:p>
    <w:p>
      <w:r>
        <w:t>Au nom de la Cour des affaires pénales du Tribunal pénal fédéral</w:t>
      </w:r>
    </w:p>
    <w:p>
      <w:r>
        <w:t>Le juge unique La greffière</w:t>
      </w:r>
    </w:p>
    <w:p>
      <w:r>
        <w:t>- 3 - Distribution (acte judiciaire):  Ministère public de la Confédération, Monsieur Marco Renna, Procureur fédéral,  A.</w:t>
      </w:r>
    </w:p>
    <w:p>
      <w:r>
        <w:t>Après son entrée en force, le présent jugement sera communiquée à:  Ministère public de la Confédération en tant qu’autorité d’exécution</w:t>
      </w:r>
    </w:p>
    <w:p>
      <w:r>
        <w:t>Indication des voies de droit Le Tribunal renonce à une motivation écrite lorsqu’il motive le jugement oralement et s’il ne prononce pas de peine privative de liberté supérieure à deux ans, d’internement au sens de l’art. 64 CP, de traitement au sens de l’art. 59 al. 3 CP ou de privation de liberté de plus de deux ans lors de la révocation d’un sursis (art. 82 al. 1 CPP). Le Tribunal notifie ultérieurement aux parties un jugement motivé lorsqu’une partie le demande dans les 10 jours qui suivent la notification du dispositif du jugement (art. 82 al. 2 CPP).</w:t>
      </w:r>
    </w:p>
    <w:p>
      <w:r>
        <w:t>Lorsqu’un jugement est rendu dans le cadre d’une procédure par défaut, le condamné peut faire une demande de nouveau jugement, par écrit ou oralement et dans les 10 jours qui suivent la notification du dispositif du jugement (art. 368 al. 1 CPP). Dans sa demande, le condamné expose brièvement les raisons qui l’ont empêché de participer aux débats (art. 368 al. 2 CPP). Le tribunal rejette la demande lorsque le condamné, dûment cité, fait défaut aux débats sans excuse valable (art. 368 al. 3 CPP).</w:t>
      </w:r>
    </w:p>
    <w:p>
      <w:r>
        <w:t>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