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SK.2017.66 vom 12. Februar 2018</w:t>
      </w:r>
    </w:p>
    <w:p>
      <w:r>
        <w:t>Bundesstrafgericht, 2018-02-12, DE</w:t>
      </w:r>
    </w:p>
    <w:p>
      <w:r>
        <w:rPr>
          <w:b/>
        </w:rPr>
        <w:t xml:space="preserve">Quelle: </w:t>
      </w:r>
      <w:r>
        <w:t>https://mcp.opencaselaw.ch/entscheid/bstger_SK.2017.66</w:t>
      </w:r>
    </w:p>
    <w:p>
      <w:r>
        <w:t>FR: TPF SK.2017.66 du 12 février 2018</w:t>
      </w:r>
    </w:p>
    <w:p>
      <w:r>
        <w:t>IT: TPF SK.2017.66 del 12 febbraio 2018</w:t>
      </w:r>
    </w:p>
    <w:p>
      <w:pPr>
        <w:pStyle w:val="Heading2"/>
      </w:pPr>
      <w:r>
        <w:t>Regeste</w:t>
      </w:r>
    </w:p>
    <w:p>
      <w:r>
        <w:t>Ausnützen der Kenntnis vertraulicher Tatsachen als Primärinsider (Art. 161 Ziff. 1 aStGB), eventuell als Sekundärinsider (Art. 161 Ziff. 2 aStGB)</w:t>
      </w:r>
    </w:p>
    <w:p>
      <w:pPr>
        <w:pStyle w:val="Heading2"/>
      </w:pPr>
      <w:r>
        <w:t>Erwägungen</w:t>
      </w:r>
    </w:p>
    <w:p>
      <w:r>
        <w:rPr>
          <w:b/>
        </w:rPr>
        <w:t>E. 5</w:t>
      </w:r>
    </w:p>
    <w:p>
      <w:r>
        <w:t>Das Gericht stellt den Verfahrensbeteiligten nachträglich einen begründeten Ent- scheid zu, wenn eine Partei oder die beschwerte Dritte dies innert 10 Tagen nach der Zustellung des Dispositivs verlangt. Gegen den begründeten Entscheid kann innert 30 Tagen nach der Zustellung der vollständigen Ausfertigung Beschwerde beim Bundesgericht eingelegt werden.</w:t>
      </w:r>
    </w:p>
    <w:p>
      <w:r>
        <w:t>II. Diese Verfügung wird in der Hauptverhandlung eröffnet und durch den Einzelrichter münd- lich begründet. Den Parteien sowie der beschwerten Dritten wird das Urteilsdispositiv schriftlich zugestellt.</w:t>
      </w:r>
    </w:p>
    <w:p>
      <w:r>
        <w:t>Im Namen der Strafkammer des Bundesstrafgerichts</w:t>
      </w:r>
    </w:p>
    <w:p>
      <w:r>
        <w:t>Der Einzelrichter Der Gerichtsschreiber</w:t>
      </w:r>
    </w:p>
    <w:p>
      <w:r>
        <w:t>- 9 - Eine vollständige schriftliche Ausfertigung wird zugestellt an:  Bundesanwaltschaft  Rechtsanwalt Christof Wyss (erbetener Verteidiger des Beschuldigten)  Frau B. (Drittbetroffene)</w:t>
      </w:r>
    </w:p>
    <w:p>
      <w:r>
        <w:t>Nach Eintritt der Rechtskraft mitzuteilen an:  Bundesanwaltschaft als Vollzugsbehörde (vollständig)  Stiftung J. (Dispositiv)  Stiftung K., Dr. med. L. (Dispositiv)</w:t>
      </w:r>
    </w:p>
    <w:p>
      <w:r>
        <w:t>Rechtsmittelbelehrung</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23. März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