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SK.2017.59 vom 21. Dezember 2017</w:t>
      </w:r>
    </w:p>
    <w:p>
      <w:r>
        <w:t>Bundesstrafgericht, 2017-12-21, FR</w:t>
      </w:r>
    </w:p>
    <w:p>
      <w:r>
        <w:rPr>
          <w:b/>
        </w:rPr>
        <w:t xml:space="preserve">Quelle: </w:t>
      </w:r>
      <w:r>
        <w:t>https://mcp.opencaselaw.ch/entscheid/bstger_SK.2017.59</w:t>
      </w:r>
    </w:p>
    <w:p>
      <w:r>
        <w:t>FR: TPF SK.2017.59 du 21 décembre 2017</w:t>
      </w:r>
    </w:p>
    <w:p>
      <w:r>
        <w:t>IT: TPF SK.2017.59 del 21 dicembre 2017</w:t>
      </w:r>
    </w:p>
    <w:p>
      <w:pPr>
        <w:pStyle w:val="Heading2"/>
      </w:pPr>
      <w:r>
        <w:t>Regeste</w:t>
      </w:r>
    </w:p>
    <w:p>
      <w:r>
        <w:t>Actes d'ordre sexuel avec des enfants (art. 187 ch. 1 CP)</w:t>
      </w:r>
    </w:p>
    <w:p>
      <w:pPr>
        <w:pStyle w:val="Heading2"/>
      </w:pPr>
      <w:r>
        <w:t>Erwägungen</w:t>
      </w:r>
    </w:p>
    <w:p>
      <w:r>
        <w:rPr>
          <w:b/>
        </w:rPr>
        <w:t>E. 1</w:t>
      </w:r>
    </w:p>
    <w:p>
      <w:r>
        <w:t>A. est acquitté du chef d’actes d’ordre sexuel avec des enfants (art. 187 ch. 1 CP).</w:t>
      </w:r>
    </w:p>
    <w:p>
      <w:r>
        <w:rPr>
          <w:b/>
        </w:rPr>
        <w:t>E. 2</w:t>
      </w:r>
    </w:p>
    <w:p>
      <w:r>
        <w:t>Il n’est pas alloué de conclusions civiles.</w:t>
      </w:r>
    </w:p>
    <w:p>
      <w:r>
        <w:rPr>
          <w:b/>
        </w:rPr>
        <w:t>E. 3</w:t>
      </w:r>
    </w:p>
    <w:p>
      <w:r>
        <w:t>Les frais de procédure sont mis à la charge de la Confédération.</w:t>
      </w:r>
    </w:p>
    <w:p>
      <w:r>
        <w:rPr>
          <w:b/>
        </w:rPr>
        <w:t>E. 4</w:t>
      </w:r>
    </w:p>
    <w:p>
      <w:r>
        <w:t>Une indemnité, au sens de l’art. 429 al. 1 let. a CPP, est allouée à A. par la Confé- dération à hauteur de CHF 17'500.-, avec intérêts à 5% l’an dès le 20 mai 2015.</w:t>
      </w:r>
    </w:p>
    <w:p>
      <w:r>
        <w:rPr>
          <w:b/>
        </w:rPr>
        <w:t>E. 5</w:t>
      </w:r>
    </w:p>
    <w:p>
      <w:r>
        <w:t>Une indemnité, au sens de l’art. 429 al. 1 let. b CPP, est allouée à A. par la Confé- dération à hauteur de CHF 215.-.</w:t>
      </w:r>
    </w:p>
    <w:p>
      <w:r>
        <w:rPr>
          <w:b/>
        </w:rPr>
        <w:t>E. 6</w:t>
      </w:r>
    </w:p>
    <w:p>
      <w:r>
        <w:t>Il n’est pas alloué d’indemnité pour tort moral.</w:t>
      </w:r>
    </w:p>
    <w:p>
      <w:r>
        <w:t>Cette décision est communiquée lors des débats et motivée oralement par la juge unique. Le dispositif est remis aux parties présentes à l'issue des débats et sera envoyé par cour- rier aux autres parties.</w:t>
      </w:r>
    </w:p>
    <w:p>
      <w:r>
        <w:t>Au nom de la Cour des affaires pénales du Tribunal pénal fédéral</w:t>
      </w:r>
    </w:p>
    <w:p>
      <w:r>
        <w:t>La juge unique La greffière</w:t>
      </w:r>
    </w:p>
    <w:p>
      <w:r>
        <w:t>- 3 - Le dispositif du jugement est notifié par acte judiciaire à:  Ministère public de la Confédération, Monsieur Marco Renna  B., représentée par C.</w:t>
      </w:r>
    </w:p>
    <w:p>
      <w:r>
        <w:t>Indication des voies de droit Le Tribunal renonce à une motivation écrite lorsqu’il motive le jugement oralement et s’il ne prononce pas de peine privative de liberté supérieure à deux ans, d’internement au sens de l’art. 64 CP, de traitement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(art. 82 al. 2 CPP).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21 décembre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