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SK.2017.57 vom 14. November 2018</w:t>
      </w:r>
    </w:p>
    <w:p>
      <w:r>
        <w:t>Bundesstrafgericht, 2018-11-14, DE</w:t>
      </w:r>
    </w:p>
    <w:p>
      <w:r>
        <w:rPr>
          <w:b/>
        </w:rPr>
        <w:t xml:space="preserve">Quelle: </w:t>
      </w:r>
      <w:r>
        <w:t>https://mcp.opencaselaw.ch/entscheid/bstger_SK.2017.57</w:t>
      </w:r>
    </w:p>
    <w:p>
      <w:r>
        <w:t>FR: TPF SK.2017.57 du 14 novembre 2018</w:t>
      </w:r>
    </w:p>
    <w:p>
      <w:r>
        <w:t>IT: TPF SK.2017.57 del 14 novembre 2018</w:t>
      </w:r>
    </w:p>
    <w:p>
      <w:pPr>
        <w:pStyle w:val="Heading2"/>
      </w:pPr>
      <w:r>
        <w:t>Regeste</w:t>
      </w:r>
    </w:p>
    <w:p>
      <w:r>
        <w:t>Rückweisung BGer; Entschädigungsfolgen nach Freispruch (Art. 429 Abs. 1 lit. a StPO)</w:t>
      </w:r>
    </w:p>
    <w:p>
      <w:pPr>
        <w:pStyle w:val="Heading2"/>
      </w:pPr>
      <w:r>
        <w:t>Erwägungen</w:t>
      </w:r>
    </w:p>
    <w:p>
      <w:r>
        <w:rPr>
          <w:b/>
        </w:rPr>
        <w:t>E. 1</w:t>
      </w:r>
    </w:p>
    <w:p>
      <w:r>
        <w:t>Nimmt das Bundesstrafgericht einen Fall nach Rückweisung durch das Bundes- gericht wieder auf, so wird eine weitere Hauptverhandlung nur durchgeführt, wenn dies zur Vervollständigung des Sachverhalts oder zur Wahrung des recht- lichen Gehörs der Parteien notwendig erscheint (Urteil des Bundesstrafgerichts SK.2014.1 vom 5. Juni 2014 E. 1.1 mit Hinweisen). Dies ist vorliegend nicht der Fall. Die Parteien konnten sich zum Prozessthema schriftlich äussern; sie erho- ben keine Einwände gegen die Schriftlichkeit des Verfahrens.</w:t>
      </w:r>
    </w:p>
    <w:p>
      <w:r>
        <w:rPr>
          <w:b/>
        </w:rPr>
        <w:t>E. 2.1</w:t>
      </w:r>
    </w:p>
    <w:p>
      <w:r>
        <w:t>Heisst das Bundesgericht eine Beschwerde gut und weist es die Angelegenheit zur neuen Beurteilung an die Vorinstanz zurück, darf sich diese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ist somit auf diejenige Thematik beschränkt, die sich aus den bun- desgerichtlichen Erwägungen als Gegenstand der neuen Beurteilung ergibt. Das Verfahren wird nur insoweit neu in Gang gesetzt, als dies notwendig ist, um den verbindlichen Erwägungen des Bundesgerichts Rechnung zu tragen (143 IV 214 E. 5.2.1 mit Hinweisen).</w:t>
      </w:r>
    </w:p>
    <w:p>
      <w:r>
        <w:rPr>
          <w:b/>
        </w:rPr>
        <w:t>E. 2.2</w:t>
      </w:r>
    </w:p>
    <w:p>
      <w:r>
        <w:t>Das Bundesgericht wies die vorliegende Angelegenheit an das Bundesstrafge- richt zur Neufestsetzung der Parteientschädigung für den Arbeitsaufwand und die Auslagen der erbetenen Verteidigung zurück (Rückweisungsurteil, E. 2.7.4).</w:t>
      </w:r>
    </w:p>
    <w:p>
      <w:r>
        <w:t>- 4 - Hingegen bestätigte es das angefochtene Urteil in Bezug auf die Genugtuung (a.a.O., E. 3); die Parteientschädigung für die persönliche Beteiligung der be- schuldigten Person am Verfahren war nicht Gegenstand des bundesgerichtlichen Beschwerdeverfahrens. In Bezug auf die letztgenannten Punkte ist Dispositiv- Ziff. I.8 des Urteils des Bundesstrafgerichts SK.2016.17 vom 12. Juli 2016 somit rechtskräftig.</w:t>
      </w:r>
    </w:p>
    <w:p>
      <w:r>
        <w:rPr>
          <w:b/>
        </w:rPr>
        <w:t>E. 2.3</w:t>
      </w:r>
    </w:p>
    <w:p>
      <w:r>
        <w:t>Im Weiteren ist Folgendes festzuhalten: Das Bundesgericht verwarf verschie- dene Rügen von A. in Bezug auf die von der Strafkammer angewandte Berech- nungsmethode für die Parteientschädigung für die Anwaltskosten (Rückwei- sungsurteil, E. 2.4-2.7). Soweit der Verteidiger von A. im vorliegenden Verfahren die betreffenden Berechnungsgrundlagen erneut problematisiert, ist er von vorn- herein nicht zu hören. Dies betrifft insbesondere den Stundenansatz, die ermes- sensweise Festsetzung des Anwaltshonorars, die Notwendigkeit der Aufwendun- gen der erbetenen Verteidigung nach der Bestellung des amtlichen Verteidigers, einzelne Auslagenpositionen.</w:t>
      </w:r>
    </w:p>
    <w:p>
      <w:r>
        <w:rPr>
          <w:b/>
        </w:rPr>
        <w:t>E. 3.1</w:t>
      </w:r>
    </w:p>
    <w:p>
      <w:r>
        <w:t>Wird die beschuldigte Person ganz oder teilweise freigesprochen oder wird das Verfahren gegen sie eingestellt, so hat sie Anspruch auf Entschädigung ihrer Aufwendungen für die angemessene Ausübung ihrer Verfahrensrechte (Art. 429 Abs. 1 lit. a StPO). Zu den Aufwendungen im Sinne von Art. 429 Abs. 1 lit. a StPO zählen in erster Linie die Kosten der frei gewählten Verteidigung, wenn der Bei- stand angesichts der tatsächlichen oder rechtlichen Komplexität des Falls gebo- ten war (Urteile des Bundesgerichts 6B_436/2015 vom 22. Dezember 2015 E. 2.1; 6B_251/2015 24. August 2015 E. 2.2.3). Nicht jeder Aufwand, der im Straf- verfahren entstanden ist, ist jedoch zu entschädigen. Sowohl der Beizug eines Verteidigers als auch der von diesem betriebene Aufwand müssen sich als an- gemessen erweisen (BGE 142 IV 163 E. 3.1.2; 138 IV 197 E. 2.3.4). Als Mass- 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w:t>
      </w:r>
    </w:p>
    <w:p>
      <w:r>
        <w:rPr>
          <w:b/>
        </w:rPr>
        <w:t>E. 3.2</w:t>
      </w:r>
    </w:p>
    <w:p>
      <w:r>
        <w:t>Auf die Berechnung der Entschädigung der freigesprochenen Person für die Kos- ten der erbetenen Verteidigung sind die Bestimmungen über die amtliche Vertei- digung anwendbar (Art. 10 des Reglements des Bundesstrafgerichts vom 31. August 2010 über die Kosten, Gebühren und Entschädigungen in Bundesstraf- verfahren [BStKR; SR 173.713.162]).</w:t>
      </w:r>
    </w:p>
    <w:p>
      <w:r>
        <w:t>- 5 - Die Anwaltskosten umfassen das Honorar und die notwendigen Auslagen, na- mentlich für Reise, Verpflegung und Unterkunft sowie Porti und Telefonspesen (Art. 11 Abs. 1 BStKR). Das Honorar wird nach dem notwendigen und ausgewie- senen Zeitaufwand des Verteidigers bemessen. Der Stundenansatz beträgt min- destens Fr. 200.– und höchstens Fr. 300.– (Art. 12 Abs. 1 BStKR). Bei Fällen im ordentlichen Schwierigkeitsbereich beträgt der Stundenansatz gemäss ständiger Praxis der Strafkammer Fr. 230.– für Arbeitszeit und Fr. 200.– für Reisezeit. Der Stundenansatz für Praktikanten beträgt in der Regel Fr. 100.– (Urteile des Bun- desstrafgerichts SK.2015.12 vom 15. September 2015 E. 9.2; SN.2011.16 vom</w:t>
      </w:r>
    </w:p>
    <w:p>
      <w:r>
        <w:rPr>
          <w:b/>
        </w:rPr>
        <w:t>E. 5</w:t>
      </w:r>
    </w:p>
    <w:p>
      <w:r>
        <w:t>A. verlangt auf die Anwaltskostenentschädigung 5% Zins ab dem 12. Juli 2016 (TPF pag. 59.521.7). Ob und wann A. Zahlungen an seinen Verteidiger geleistet hat, ist nicht belegt. Es ist insoweit kein Schaden nachgewiesen. Allfällige Ausfälle beim Verteidiger sind keine Aufwendung des Beschuldigten und daher nicht nach Art. 429 StPO zu entschädigen.</w:t>
      </w:r>
    </w:p>
    <w:p>
      <w:r>
        <w:rPr>
          <w:b/>
        </w:rPr>
        <w:t>E. 6</w:t>
      </w:r>
    </w:p>
    <w:p>
      <w:r>
        <w:t>Schliesslich ist über den Entschädigungsanspruch von A. für die Kosten seiner Vertretung im Rückweisungsverfahren zu befinden. RA Currat macht diesbezüg- lich einen Arbeitsaufwand von 95 Minuten à Fr. 500.– zzgl. Mehrwertsteuer gel- tend (TPF pag. 59.721.2 f.). Der ausgewiesene Zeitaufwand erscheint angemes- sen; der Stundenansatz ist auf Fr. 260.– zu reduzieren; die Mehrwertsteuer fällt nach dem Gesagten nicht an. Daraus resultiert aufgerundet ein Betrag von Fr. 420.–.</w:t>
      </w:r>
    </w:p>
    <w:p>
      <w:r>
        <w:rPr>
          <w:b/>
        </w:rPr>
        <w:t>E. 7</w:t>
      </w:r>
    </w:p>
    <w:p>
      <w:r>
        <w:t>Nach dem Gesagten hat die Eidgenossenschaft A. (nebst dem Ersatz seiner Rei- sekosten von Fr. 3’000.– und der Genugtuung von Fr. 2’000.–) für seine Anwalts- kosten mit Fr. 120‘420.– zu entschädigen.</w:t>
      </w:r>
    </w:p>
    <w:p>
      <w:r>
        <w:t>- 10 -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