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SK.2017.51 vom 22. Januar 2018</w:t>
      </w:r>
    </w:p>
    <w:p>
      <w:r>
        <w:t>Bundesstrafgericht, 2018-01-22, DE</w:t>
      </w:r>
    </w:p>
    <w:p>
      <w:r>
        <w:rPr>
          <w:b/>
        </w:rPr>
        <w:t xml:space="preserve">Quelle: </w:t>
      </w:r>
      <w:r>
        <w:t>https://mcp.opencaselaw.ch/entscheid/bstger_SK.2017.51</w:t>
      </w:r>
    </w:p>
    <w:p>
      <w:r>
        <w:t>FR: TPF SK.2017.51 du 22 janvier 2018</w:t>
      </w:r>
    </w:p>
    <w:p>
      <w:r>
        <w:t>IT: TPF SK.2017.51 del 22 gennaio 2018</w:t>
      </w:r>
    </w:p>
    <w:p>
      <w:pPr>
        <w:pStyle w:val="Heading2"/>
      </w:pPr>
      <w:r>
        <w:t>Regeste</w:t>
      </w:r>
    </w:p>
    <w:p>
      <w:r>
        <w:t>Einsprache gegen den Strafbefehl (Art. 356 Abs. 2 StPO)</w:t>
      </w:r>
    </w:p>
    <w:p>
      <w:pPr>
        <w:pStyle w:val="Heading2"/>
      </w:pPr>
      <w:r>
        <w:t>Erwägungen</w:t>
      </w:r>
    </w:p>
    <w:p>
      <w:r>
        <w:rPr>
          <w:b/>
        </w:rPr>
        <w:t>E. 1</w:t>
      </w:r>
    </w:p>
    <w:p>
      <w:r>
        <w:t>A., vertreten durch Rechtsanwalt Alain Macaluso,</w:t>
      </w:r>
    </w:p>
    <w:p>
      <w:r>
        <w:rPr>
          <w:b/>
        </w:rPr>
        <w:t>E. 2</w:t>
      </w:r>
    </w:p>
    <w:p>
      <w:r>
        <w:t>B., vertreten durch Rechtsanwälte Laurent Moreillon und Miriam Mazou,</w:t>
      </w:r>
    </w:p>
    <w:p>
      <w:r>
        <w:rPr>
          <w:b/>
        </w:rPr>
        <w:t>E. 3</w:t>
      </w:r>
    </w:p>
    <w:p>
      <w:r>
        <w:t>Gemäss Art. 354 Abs. 1 StPO sind zur Einsprache gegen einen Strafbefehl die beschuldigte Person (lit. a), weitere Betroffene (lit. b) und, soweit vorgesehen, die Ober- oder Generalstaatsanwaltschaft des Bundes (d.h. die Bundesanwalt- schaft) oder des betreffenden Kantons im jeweiligen eidgenössischen oder kan- tonalen Verfahren (lit. c) legitimiert.</w:t>
      </w:r>
    </w:p>
    <w:p>
      <w:r>
        <w:rPr>
          <w:b/>
        </w:rPr>
        <w:t>E. 4</w:t>
      </w:r>
    </w:p>
    <w:p>
      <w:r>
        <w:t>Unter dem Titel von Art. 354 Abs. 1 lit. a StPO ist einzig die Person, gegen die der Strafbefehl erlassen worden ist, einsprachelegitimiert (Urteil des Bundesge- richts 6B_410/2013 vom 5. Januar 2016 E. 3.4). Dies ist vorliegend nicht der Fall.</w:t>
      </w:r>
    </w:p>
    <w:p>
      <w:r>
        <w:t>- 6 -</w:t>
      </w:r>
    </w:p>
    <w:p>
      <w:r>
        <w:rPr>
          <w:b/>
        </w:rPr>
        <w:t>E. 5</w:t>
      </w:r>
    </w:p>
    <w:p>
      <w:r>
        <w:t>Somit ist zu prüfen, ob A. und B. als „weitere Betroffene“ gemäss Art. 354 Abs. 1 lit. b StPO einspracheberechtigt sind.</w:t>
      </w:r>
    </w:p>
    <w:p>
      <w:r>
        <w:rPr>
          <w:b/>
        </w:rPr>
        <w:t>E. 5.1</w:t>
      </w:r>
    </w:p>
    <w:p>
      <w:r>
        <w:t>„Weitere Betroffene“ im Sinne dieser Bestimmung sind Dritte, die durch den Straf- befehl in ihren Rechten unmittelbar betroffen sind und ein rechtlich geschütztes Interesse an dessen Aufhebung oder Änderung haben. Eine indirekte oder fakti- sche Betroffenheit genügt nicht (BGE 141 IV 231 E. 2.3; Urteil des Bundesge- richts 6B_410/2013 vom 5. Januar 2016 E. 3.5, je m.w.H.; RIKLIN, a.a.O., Art. 354 StPO N 8).</w:t>
      </w:r>
    </w:p>
    <w:p>
      <w:r>
        <w:rPr>
          <w:b/>
        </w:rPr>
        <w:t>E. 5.2</w:t>
      </w:r>
    </w:p>
    <w:p>
      <w:r>
        <w:t>A. und B. begründen ihre Einsprachelegitimation im Wesentlichen wie folgt: Ein Unternehmen könne nicht nach Art. 102 StGB verurteilt werden, ohne dass nach- gewiesen werde, dass eine natürliche Person die objektiven und subjektiven Tat- bestandsmerkmale der Anlasstat erfüllt habe. Die Verurteilung der D. SA stütze sich auf der Feststellung, dass die von der BA in den Parallelverfahren beschul- digten ehemaligen Angestellten dieser Gesellschaft, wie A. und B., die Anlasstat begangen hätten. Indem die BA vorliegend die Verfahren künstlich aufgespaltet habe und die D. SA separat mit einem Strafbefehl abgeurteilt habe, habe sie die Grundsätze der Verfahrenseinheit (Art. 29 StPO) und der Unschuldsvermutung (6 Ziff. 2 EMRK und Art. 10 Abs. 1 StPO) zum Nachteil von A. und B. verletzt.</w:t>
      </w:r>
    </w:p>
    <w:p>
      <w:r>
        <w:rPr>
          <w:b/>
        </w:rPr>
        <w:t>E. 5.3.1</w:t>
      </w:r>
    </w:p>
    <w:p>
      <w:r>
        <w:t>Art. 29 StPO regelt den Grundsatz der Verfahrenseinheit. Dieser besagt u.a., dass Straftaten gemeinsam verfolgt und beurteilt werden, wenn Mittäterschaft oder Teilnahme vorliegt (Art. 29 Abs. 1 lit. b StPO). Er bezweckt die Verhinderung sich widersprechender Urteile, sei dies bei der Sachverhaltsfeststellung, der rechtlichen Würdigung oder der Strafzumessung. Er gewährleistet insofern das Gleichbehandlungs- und Fairnessgebot (Art. 3 Abs. 2 lit. c StPO) und dient über- dies der Prozessökonomie (Art. 5 Abs. 1 StPO). Eine Verfahrenstrennung ist ge- mäss Art. 30 StPO nur bei Vorliegen sachlicher Gründe zulässig und muss die Ausnahme bleiben. Getrennte Verfahren sollen vor allem der Verfahrensbe- schleunigung dienen bzw. eine unnötige Verzögerung vermeiden helfen (BGE 138 IV 29 E. 3.2; 138 IV 214 E. 3.2). Gemäss Art. 30 StPO können die Staatsanwaltschaft und die Gerichte aus sach- lichen Gründen Strafverfahren vereinen. Diese Möglichkeit bewirkt eine Ausdeh- nung der Verfahrenseinheit auf Konstellationen, welche von Art. 29 StPO nicht erfasst werden. Für eine Vereinigung nach Art. 30 StPO spricht vor allem der enge Sachzusammenhang verschiedener Straftaten. Ein solcher besteht na- mentlich, wenn sich Beteiligte gegenseitig Straftaten beschuldigen, die sie im Rahmen der gleichen Auseinandersetzung begangen haben sollen (Urteil des Bundesgerichts 6B_295/2016 vom 24. Oktober 2016 E. 2.5).</w:t>
      </w:r>
    </w:p>
    <w:p>
      <w:r>
        <w:t>- 7 - Im vorliegenden Zusammenhang ist die Spezialregelung von Art. 112 Abs. 4 StPO massgebend. Demnach können Verfahren vereinigt werden, wenn wegen des gleichen oder eines damit zusammenhängenden Sachverhalts sowohl ein Verfahren gegen eine natürliche Person wie auch ein Verfahren gegen ein Un- ternehmen geführt wird. Eine solche Zusammenlegung ist jedoch nicht zwingend; getrennte Verfahren bleiben zulässig, wenn die Verfahrensökonomie dafür spricht (vgl. hierzu die Botschaft vom 21. Dezember 2005 zur Vereinheitlichung des Strafprozessrechts, BBl 2006 1168; ENGLER, Basler Kommentar, a.a.O., Art. 112 StPO N 61; SCHMID/JOSITSCH, Praxiskommentar, 3. Aufl. 2018, Art. 112 N 8). Der Gesetzgeber scheint bei Art. 112 Abs. 4 StPO vom Regelfall der ge- trennten Verfahrensführung gegen juristische und natürliche Personen auch bei gleichem bzw. zusammenhängenden Sachverhalten auszugehen.</w:t>
      </w:r>
    </w:p>
    <w:p>
      <w:r>
        <w:rPr>
          <w:b/>
        </w:rPr>
        <w:t>E. 5.3.2</w:t>
      </w:r>
    </w:p>
    <w:p>
      <w:r>
        <w:t>Das Verfahren gegen die D. SA wurde durch ihre Selbstanzeige eingeleitet. Da- raus und durch die vollumfängliche Kooperation der Gesellschaft ergab sich auch der fortgeschrittene Stand ihres Strafverfahrens. Das Beschleunigungsgebot (Art. 5 Abs. 1 StPO) kann eine Verfahrensabtrennung nach Art. 30 StPO recht- fertigen: Wie das Bundesgericht ausführte, dürfe die Verteidigungsstrategie eines Beschuldigten nicht dazu führen, dass ein entscheidungsreifes Verfahren gegen Mitbeschuldigte wesentlich verzögert werde (Urteile des Bundesgerichts 1B_200/2013 vom 17. Juni 2013 E. 1.5.3; 1B_684/2011 vom 21. Dezember 2011 E. 3.2). Ein faires Verfahren ist auch bei einer getrennten Verfahrensführung möglich (Urteil des Bundesgerichts 6B_751/2014 vom 24. März 2015 E. 1.5 f.). Stand das Strafverfahren gegen die D. SA vor dem Abschluss, so ist die ge- trennte Verfahrensführung vorliegend nicht zu beanstanden.</w:t>
      </w:r>
    </w:p>
    <w:p>
      <w:r>
        <w:rPr>
          <w:b/>
        </w:rPr>
        <w:t>E. 5.3.3</w:t>
      </w:r>
    </w:p>
    <w:p>
      <w:r>
        <w:t>Eine Gefahr sich widersprechender Entscheide, wie dies von den Einsprechern geltend gemacht wird, besteht vorliegend nicht. Die D. SA wurde von der BA wegen Vorliegens eines Organisationsmangels des Unternehmens im Zusam- menhang mit der Bestechung fremder Amtsträger gemäss Art. 102 Abs. 2 i.V.m. Art. 322septies StGB verurteilt. Art. 102 StGB lautet – soweit vorliegend von Inte- resse – wie folgt: 1 Wird in einem Unternehmen in Ausübung geschäftlicher Verrichtung im Rahmen des Unterneh- menszwecks ein Verbrechen oder Vergehen begangen und kann diese Tat wegen mangelhafter Organisation des Unternehmens keiner bestimmten natürlichen Person zugerechnet werden, so wird das Verbrechen oder Vergehen dem Unternehmen zugerechnet. (…) 2 Handelt es sich dabei um eine Straftat nach den Artikeln 260ter, 260quinquies, 305bis, 322ter, 322quin- quies, 322septies Absatz 1 oder 322octies, so wird das Unternehmen unabhängig von der Strafbarkeit</w:t>
      </w:r>
    </w:p>
    <w:p>
      <w:r>
        <w:t>- 8 - natürlicher Personen bestraft, wenn dem Unternehmen vorzuwerfen ist, dass es nicht alle erforder- lichen und zumutbaren organisatorischen Vorkehren getroffen hat, um eine solche Straftat zu ver- hindern. Die Bestimmung von Art. 102 Abs. 2 StGB schafft bei einem abschliessenden Katalog von Wirtschaftsdelikten, darunter der vorliegend relevante Tatbestand der Bestechung fremder Amtsträger (Art. 322septies StGB), eine originäre, kumu- lative bzw. konkurrierende Haftung des Unternehmens für Organisationsver- schulden. Das Unternehmen ist mithin auch strafbar, wenn der Individualtäter ermittelt und ihm die Tat zugerechnet werden kann. Dass dieser ermittelt oder gar bestraft wird, ist indes nicht notwendig. Denn die Strafbarkeit des Unterneh- mens tritt unabhängig von der Strafbarkeit natürlicher Personen ein. Dass eine natürliche Person im Unternehmen in Ausübung geschäftlicher Verrichtung im Rahmen des Unternehmenszwecks eine Straftat begeht (die Anlasstat) bildet den äusseren Grund für die Strafbarkeit der Gesellschaft. Die Anlasstat ist objek- tive Strafbarkeitsbedingung. Dabei muss nachgewiesen sein, dass die objektiven und subjektiven Tatbestandsmerkmale einer der Katalogtaten erfüllt worden sind. Gelingt dieser Nachweis nicht, entfällt die Strafbarkeit des Unternehmens. Dass ein entsprechendes Delikt begangen wurde, genügt als Beweis dafür, dass das Unternehmen seinen Pflichten nicht nachgekommen ist, für sich allein noch nicht. Erforderlich ist darüber hinaus ein Zurechnungszusammenhang zwischen Orga- nisationsdefizit und Anlasstat. Es muss nachgewiesen sein, dass konkrete Orga- nisationsmassnahmen erforderlich gewesen wären und tatsächlich nicht bestan- den haben. Der Vorwurf geht dahin, dass das Unternehmen nicht alle erforderli- chen und zumutbaren organisatorischen Vorkehren getroffen hat, um eine Straf- tat aus dem aufgeführten Katalog zu verhindern. Das Delikt ist als fahrlässiges Unterlassungsdelikt konzipiert. Dem Unternehmen kommt die Funktion eines Überwachungsgaranten zu (BGE 142 IV 333 E. 4.1 und 4.2 mit Hinweisen).</w:t>
      </w:r>
    </w:p>
    <w:p>
      <w:r>
        <w:rPr>
          <w:b/>
        </w:rPr>
        <w:t>E. 5.3.4</w:t>
      </w:r>
    </w:p>
    <w:p>
      <w:r>
        <w:t>Die strafrechtlichen Verantwortlichkeiten der Gesellschaft und Anlasstäter(n) sind vorliegend voneinander unabhängig. Wohl trifft es zu, dass eine Anlasstat die Voraussetzung der Strafbarkeit einer Gesellschaft nach Art. 102 StGB ist. Wie vorstehend dargelegt, ist jedoch die Strafbarkeit der Gesellschaft nach Art. 102 Abs. 2 StGB originär und kumulativ zu denjenigen von natürlichen Perso- nen. Dies hat zur Folge, dass die natürlichen Personen und die Gesellschaft je für ihre originären strafrechtlichen Verantwortlichkeiten schuldig- oder freigespro- chen werden können. Aus dem zur Diskussion stehenden Strafbefehl ergibt sich gerade keine Strafbarkeit einer bestimmten natürlichen Person und der Strafbe- fehl ist auch nicht so formuliert, dass sich implizit eine solche Verurteilung einer bestimmten Person ergibt. Die Verurteilung der D. SA hat demnach keine präju- dizierende Wirkung auf das Strafverfahren gegen A. und B. Damit erweist sich auch die Rüge der Verletzung der Unschuldsvermutung als unbegründet.</w:t>
      </w:r>
    </w:p>
    <w:p>
      <w:r>
        <w:t>- 9 -</w:t>
      </w:r>
    </w:p>
    <w:p>
      <w:r>
        <w:rPr>
          <w:b/>
        </w:rPr>
        <w:t>E. 5.3.5</w:t>
      </w:r>
    </w:p>
    <w:p>
      <w:r>
        <w:t>Aufgrund der originären und kumulativen Strafbarkeit der Gesellschaft nach Art. 102 Abs. 2 StGB besteht in casu schliesslich auch nicht die Gefahr gegen- seitiger Schuld- und Rollenzuweisungen. Belastet die Gesellschaft die natürliche Person, so entlastet sie das in keiner Weise. Die Einsprecher sind nicht Teilneh- mer und nicht Mitbeschuldigte beim Vorwurf gegen die D. SA. Dies unterscheidet die Situation von Art. 102 Abs. 2 StGB i.V.m. Art. 112 Abs. 4 StPO von der Kons- tellation bei Mitbeschuldigten nach Art. 29 / Art. 30 StPO.</w:t>
      </w:r>
    </w:p>
    <w:p>
      <w:r>
        <w:rPr>
          <w:b/>
        </w:rPr>
        <w:t>E. 5.4</w:t>
      </w:r>
    </w:p>
    <w:p>
      <w:r>
        <w:t>Zusammenfassend sind weder A. noch B. durch den Strafbefehl der BA vom 23. März 2017 in Sachen D. SA unmittelbar in ihren rechtlich geschützten Interessen betroffen. Ihre Einsprachen sind aufgrund fehlender Einsprachelegitimation un- gültig, weshalb darauf nicht einzutreten ist.</w:t>
      </w:r>
    </w:p>
    <w:p>
      <w:r>
        <w:rPr>
          <w:b/>
        </w:rPr>
        <w:t>E. 5.5</w:t>
      </w:r>
    </w:p>
    <w:p>
      <w:r>
        <w:t>Nachdem A. und B. die Einsprachelegitimation bezüglich des Strafbefehls gegen die D. SA abgeht, sind sie auch nicht zur Stellung von prozessualen Anträgen auf Vereinigung ihrer Verfahren mit dem Verfahren gegen die D. SA und Rück- weisung der Strafsache an die BA berechtigt. Mangels Parteistellung im Verfah- ren SV.15.0584 haben sie auch kein Einsichtsrecht in die Akten dieses Verfah- rens. Auf die Verfahrensanträge von A. und B. ist demnach nicht einzutreten.</w:t>
      </w:r>
    </w:p>
    <w:p>
      <w:r>
        <w:rPr>
          <w:b/>
        </w:rPr>
        <w:t>E. 6</w:t>
      </w:r>
    </w:p>
    <w:p>
      <w:r>
        <w:t>In Bezug auf die Einsprache von Bank C. gegen den Strafbefehl der BA vom 23. März 2017 in Sachen D. SA ist das vorliegende Verfahren infolge des Rückzugs der Einsprache gegenstandslos geworden.</w:t>
      </w:r>
    </w:p>
    <w:p>
      <w:r>
        <w:rPr>
          <w:b/>
        </w:rPr>
        <w:t>E. 7</w:t>
      </w:r>
    </w:p>
    <w:p>
      <w:r>
        <w:t>Ohne gültige Einsprache wird der Strafbefehl der BA vom 23. März 2017 in Sa- chen D. SA zum rechtskräftigen Urteil (Art. 354 Abs. 3 StPO).</w:t>
      </w:r>
    </w:p>
    <w:p>
      <w:r>
        <w:rPr>
          <w:b/>
        </w:rPr>
        <w:t>E. 8.1</w:t>
      </w:r>
    </w:p>
    <w:p>
      <w:r>
        <w:t>Die Kosten- und Entschädigungsfolgen richten sich vorliegend in Ermangelung einer spezifischen gesetzlichen Grundlage nach dem allgemeinen Kriterium des Obsiegens bzw. Unterliegens (Urteil des Bundesgerichts 6B_265/2016 vom 1. Juni 2016 E. 2.3; DOMEISEN, Basler Kommentar, a.a.O., Art. 428 StPO N 5; WEHRENBERG/FRANK, Basler Kommentar, a.a.O., Art. 436 StPO N 6). Als unter- liegend gilt auch die Partei, die das Rechtsmittel zurückzieht (vgl. Art. 428 StPO).</w:t>
      </w:r>
    </w:p>
    <w:p>
      <w:r>
        <w:rPr>
          <w:b/>
        </w:rPr>
        <w:t>E. 8.2</w:t>
      </w:r>
    </w:p>
    <w:p>
      <w:r>
        <w:t>Gestützt auf Art. 1 Abs. 4, Art. 5 und Art. 7 lit. a des Reglements des Bundesstraf- gerichts vom 31. August 2010 über die Kosten, Gebühren und Entschädigungen in Bundesstrafverfahren (BStKR; SR 173.713.162) wird für das Verfahren eine Pauschalgebühr von Fr. 3‘750.-- festgesetzt. Nach Massgabe des verursachten Aufwands werden hiervon A. und B. je Fr. 1‘500.-- und der Bank C. Fr. 750.-- auferlegt.</w:t>
      </w:r>
    </w:p>
    <w:p>
      <w:r>
        <w:t>- 10 -</w:t>
      </w:r>
    </w:p>
    <w:p>
      <w:r>
        <w:rPr>
          <w:b/>
        </w:rPr>
        <w:t>E. 8.3</w:t>
      </w:r>
    </w:p>
    <w:p>
      <w:r>
        <w:t>Die D. SA hat im vorliegenden Verfahren Anträge gestellt, mit denen sie in der Sache durchdrang. Sie hat nach dem vorstehend Dargelegten Anspruch auf Ent- schädigung gegenüber den unterliegenden Gegenparteien. Es liegt keine Hono- rarnote des Rechtsvertreters der D. SA in den Akten, weshalb die Entschädigung gemäss Art. 12 Abs. 2 BStKR nach Ermessen auf Fr. 3‘000.-- festzusetzten ist. A., B. und die Bank C. sind zu verpflichten, der D. SA je Fr. 1‘000.-- zu bezahlen.</w:t>
      </w:r>
    </w:p>
    <w:p>
      <w:r>
        <w:t>- 11 - Der Einzelrichter verfügt: 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