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SK.2017.14 vom 26. September 2017</w:t>
      </w:r>
    </w:p>
    <w:p>
      <w:r>
        <w:t>Bundesstrafgericht, 2017-09-26, DE</w:t>
      </w:r>
    </w:p>
    <w:p>
      <w:r>
        <w:rPr>
          <w:b/>
        </w:rPr>
        <w:t xml:space="preserve">Quelle: </w:t>
      </w:r>
      <w:r>
        <w:t>https://mcp.opencaselaw.ch/entscheid/bstger_SK.2017.14</w:t>
      </w:r>
    </w:p>
    <w:p>
      <w:r>
        <w:t>FR: TPF SK.2017.14 du 26 septembre 2017</w:t>
      </w:r>
    </w:p>
    <w:p>
      <w:r>
        <w:t>IT: TPF SK.2017.14 del 26 settembre 2017</w:t>
      </w:r>
    </w:p>
    <w:p>
      <w:pPr>
        <w:pStyle w:val="Heading2"/>
      </w:pPr>
      <w:r>
        <w:t>Regeste</w:t>
      </w:r>
    </w:p>
    <w:p>
      <w:r>
        <w:t>Versuchte Erpressung (Art. 156 Ziff. 1 i.V.m. Art. 22 Abs. 1 StGB)</w:t>
      </w:r>
    </w:p>
    <w:p>
      <w:pPr>
        <w:pStyle w:val="Heading2"/>
      </w:pPr>
      <w:r>
        <w:t>Erwägungen</w:t>
      </w:r>
    </w:p>
    <w:p>
      <w:r>
        <w:rPr>
          <w:b/>
        </w:rPr>
        <w:t>E. 1</w:t>
      </w:r>
    </w:p>
    <w:p>
      <w:r>
        <w:t>A. wird der versuchten Erpressung (Art. 156 Ziff. 1 i.V.m. Art. 22 Abs. 1 StGB) schul- dig gesprochen.</w:t>
      </w:r>
    </w:p>
    <w:p>
      <w:r>
        <w:rPr>
          <w:b/>
        </w:rPr>
        <w:t>E. 2</w:t>
      </w:r>
    </w:p>
    <w:p>
      <w:r>
        <w:t>A. wird bestraft - mit einer Geldstrafe von 90 Tagessätzen à Fr. 80.–, bedingt vollziehbar bei einer Probezeit von 2 Jahren; - mit einer Busse von Fr. 750.–, bei schuldhaftem Nichtbezahlen derselben mit einer Ersatzfreiheitsstrafe von 9 Tagen.</w:t>
      </w:r>
    </w:p>
    <w:p>
      <w:r>
        <w:rPr>
          <w:b/>
        </w:rPr>
        <w:t>E. 3</w:t>
      </w:r>
    </w:p>
    <w:p>
      <w:r>
        <w:t>Die Kosten des Verfahrens, bestehend aus den Gebühren und Auslagen des Vor- verfahrens von Fr. 750.– und der Gerichtsgebühr von Fr. 2‘000.–, werden A. aufer- legt. Wird seitens A. keine schriftliche Begründung des Urteils verlangt, so reduziert sich die Gerichtsgebühr um die Hälfte.</w:t>
      </w:r>
    </w:p>
    <w:p>
      <w:r>
        <w:rPr>
          <w:b/>
        </w:rPr>
        <w:t>E. 4</w:t>
      </w:r>
    </w:p>
    <w:p>
      <w:r>
        <w:t>A. hat keinen Anspruch auf Entschädigung.</w:t>
      </w:r>
    </w:p>
    <w:p>
      <w:r>
        <w:rPr>
          <w:b/>
        </w:rPr>
        <w:t>E. 5</w:t>
      </w:r>
    </w:p>
    <w:p>
      <w:r>
        <w:t>Über die von A. zu leistende Parteientschädigung an die B. AG wird separat ent- schieden. II.</w:t>
      </w:r>
    </w:p>
    <w:p>
      <w:r>
        <w:t>Dieses Urteil wird in der Hauptverhandlung eröffnet und durch den Einzelrichter mündlich begründet. Das Urteilsdispositiv wird den anwesenden Parteien ausgehändigt; der nicht anwesenden Partei wird es schriftlich zugestellt. Im Namen der Strafkammer des Bundesstrafgerichts</w:t>
      </w:r>
    </w:p>
    <w:p>
      <w:r>
        <w:t>Der Einzelrichter Der Gerichtsschreiber</w:t>
      </w:r>
    </w:p>
    <w:p>
      <w:r>
        <w:t>- 3 - Nach Eintritt der Rechtskraft mitzuteilen an: - Bundesanwaltschaft als Vollzugsbehörde (vollständig)</w:t>
      </w:r>
    </w:p>
    <w:p>
      <w:r>
        <w:t>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Auf eine schriftliche Begründung des Urteils wurde gemäss Art. 82 Abs. 1 StPO verzichtet.</w:t>
      </w:r>
    </w:p>
    <w:p>
      <w:r>
        <w:t>Versand: 26.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