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SK.2017.12 vom 3. Oktober 2017</w:t>
      </w:r>
    </w:p>
    <w:p>
      <w:r>
        <w:t>Bundesstrafgericht, 2017-10-03, DE</w:t>
      </w:r>
    </w:p>
    <w:p>
      <w:r>
        <w:rPr>
          <w:b/>
        </w:rPr>
        <w:t xml:space="preserve">Quelle: </w:t>
      </w:r>
      <w:r>
        <w:t>https://mcp.opencaselaw.ch/entscheid/bstger_SK.2017.12</w:t>
      </w:r>
    </w:p>
    <w:p>
      <w:r>
        <w:t>FR: TPF SK.2017.12 du 3 octobre 2017</w:t>
      </w:r>
    </w:p>
    <w:p>
      <w:r>
        <w:t>IT: TPF SK.2017.12 del 3 ottobre 2017</w:t>
      </w:r>
    </w:p>
    <w:p>
      <w:pPr>
        <w:pStyle w:val="Heading2"/>
      </w:pPr>
      <w:r>
        <w:t>Regeste</w:t>
      </w:r>
    </w:p>
    <w:p>
      <w:r>
        <w:t>Fahrlässige Widerhandlung gegen das Güterkontrollgesetz (Art. 14 Abs. 1 lit. d i.V.m. Abs. 3 GKG; Art. 3 Abs. 1 GKV)</w:t>
      </w:r>
    </w:p>
    <w:p>
      <w:pPr>
        <w:pStyle w:val="Heading2"/>
      </w:pPr>
      <w:r>
        <w:t>Erwägungen</w:t>
      </w:r>
    </w:p>
    <w:p>
      <w:r>
        <w:rPr>
          <w:b/>
        </w:rPr>
        <w:t>E. 2</w:t>
      </w:r>
    </w:p>
    <w:p>
      <w:r>
        <w:t>eine Stütze. Gemäss Art. 1 StGB darf eine Strafe oder Massnahme nur wegen einer Tat verhängt werden, „die das Gesetz ausdrücklich unter Strafe stellt“. Strafbares Verhalten muss wegen seiner Grundrechtsrelevanz von Strafen grundsätzlich in einem formellen Gesetz definiert sein. Ohne Delegationsnorm zulässig sind jedoch auch im Strafrecht blosse Ausführungsbestimmungen in Verordnungen, welche die Voraussetzungen einer bestimmten Rechtsfolge de-</w:t>
      </w:r>
    </w:p>
    <w:p>
      <w:r>
        <w:t>- 13 - taillierter ausführen, als es der abstrakte Gesetzestext tut. Beim GKG in der Fas- sung vom 13. Dezember 1996, Stand 1. Januar 2013, handelt es sich um ein Gesetz im formellen Sinn. Dessen Art. 2 Abs. 2 ermächtigt den Bundesrat, dieje- nigen Güter zu bezeichnen, welche dem Güterkontrollgesetz unterstellt sind. In der durch den Bundesrat erlassenen GKV, die seit dem 1. März 2002 fünf An- hänge enthält, werden die Güter, welche den Kontrollmassnahmen unterstellt sind, konkretisiert. Das SECO unterstellte die fraglichen Güter der EKN 2B201 (gemäss Anhang 2 zur GKV). Die diesbezüglich vom SECO zitierte technische Anmerkung zur EKN 2B201 lautet, soweit hier von Bedeutung, wie folgt: „Als Al- ternative zu individuellen Testprotokollen können für jedes Werkzeugmaschinen- modell amtliche Werte für die Positioniergenauigkeit herangezogen werden (…)“. Weder aus dieser Vorschrift, noch aus dem GKG oder aus der dazugehörigen GKV ergibt sich, jedenfalls nicht mit der dem Bestimmtheitsgebot (Art. 1 StGB) genügenden Klarheit, dass das Testprotokoll zwingend („muss“) vom Exporteur unaufgefordert vorzulegen ist.</w:t>
      </w:r>
    </w:p>
    <w:p>
      <w:r>
        <w:t>Ebenso wenig kann der Schlussfolgerung des SECO gefolgt werden, wonach ohne ein Testprotokoll oder einem amtlichen Wert CNC-gesteuerte Werkzeug- maschinen immer als genau im Sinne der Kategorie 2 des Anhangs 2, Teil 2 gelten würden. Eine derartige Schlussfolgerung lässt sich weder aus dem Geset- zes- und Verordnungstext zur Güterkontrollgesetzgebung noch aus der hier inte- ressierenden technischen Anmerkung zur EKN 2B201 ableiten.</w:t>
      </w:r>
    </w:p>
    <w:p>
      <w:r>
        <w:t>Eine solche Verpflichtung zur Vorlage eines Testprotokolls deckt sich insbeson- dere auch nicht mit Art. 18 Abs. 1 GKV, wonach erst auf Verlangen des SECO mit entsprechenden Unterlagen nachgewiesen werden muss, dass die Güter zu Recht bewilligungsfrei ausgeführt wurden. Dass der Beschuldigte B. vorliegend vom SECO zur Vorlage von Testprotokollen aufgefordert wurde, ergibt sich nicht aus den Akten. Wenn überhaupt, bestand eine solche Verpflichtung gestützt auf Art. 18 GKV einzig für den Exporteur, in casu den Beschuldigten B.. Er hätte gegenüber dem SECO auf dessen Verlangen hin mit den entsprechenden Unterlagen nachzu- weisen, dass die Güter zu Recht bewilligungsfrei ausgeführt wurden. Eine gleichlautende, rechtliche Pflicht für Zolldeklaranten oder Spediteure enthält weder das Güterkontrollgesetz, noch die Verordnung mit den dazugehörigen An- hängen, Güterlisten und technischen Anmerkungen (vgl. auch Überschrift im 5. Abschnitt der GKV: „Pflichten der Exporteurin oder des Exporteurs“), weshalb die Beschuldigte A. auch deshalb keine strafrechtliche Verantwortung zu tragen hat.</w:t>
      </w:r>
    </w:p>
    <w:p>
      <w:r>
        <w:t>- 14 -</w:t>
      </w:r>
    </w:p>
    <w:p>
      <w:r>
        <w:t>Bei beiden Beschuldigten handelt es sich nachweislich um juristische Laien. Ge- rade für juristische Laien war eine besondere Pflicht zur Beilegung von Testpro- tokollen infolge mangelnder Bestimmtheit der vom SECO angerufenen gesetzli- chen Grundlage nicht erkennbar. Daran ändert sich auch nichts, dass der Be- schuldigte B. gemäss eigenen Angaben bereits in früheren Jahren gebrauchte CNC-Bearbeitungszentren ins Ausland verkauft hat. Gemäss seinen – nicht wi- derlegten – Angaben, waren alle früher ausgeführten Güter bewilligungsfrei und es wurde auch nie verlangt, ein Testprotokoll vorzulegen (TPF pag. 2-932-5 f.). Im Ergebnis war für beide Beschuldigten mangels Klarheit der rechtlichen Grund- lagen nicht erkennbar, dass für die Ausfuhr der fraglichen CNC-Maschinen ein Testprotokoll oder einen alternativen Wert hätte vorlegen müssen und die Be- schuldigte A. trifft zudem aus den genannten Gründen auch keine solche Pflicht. Beide Beschuldigte sind vor dem Hintergrund des Ausgeführten freizusprechen.</w:t>
      </w:r>
    </w:p>
    <w:p>
      <w:r>
        <w:t>Zusätzlich zum Ergebnis in E. 2.4 ist in Bezug auf den Vorwurf eines allfälligen fahrlässigen Verhaltens der Beschuldigten A. Folgendes festzustellen:</w:t>
      </w:r>
    </w:p>
    <w:p>
      <w:r>
        <w:t>Die beschuldigte Zolldeklarantin gab zu Protokoll, sie habe aufgrund des durch das Schweizer Zolltarifsystem TARES generierten Hinweises auf eine mögliche Bewilligungspflicht beim Exporteur B. nachgefragt, ob die Maschinen bewilli- gungspflichtig seien oder nicht. Telefonisch habe sie vom Beschuldigten B. die Auskunft erhalten, die Maschinen seien nicht bewilligungspflichtig und würden nicht dem Güterkontrollgesetz unterstehen, weil sie gebraucht und älter als 10 Jahre seien (BA pag. 13-01-4 f.). Der Beschuldigte B. bestätigte, dass es ein Telefonat mit der Beschuldigten A. gab, jedoch erst nachdem die Ware am Zoll blockiert worden sei. Vor der Deklaration habe sie nicht nachgefragt aber auch wenn sie nachgefragt hätte, hätte er ihr gesagt, dass keine Bewilligung notwen- dig sei (BA pag. 13-02-7). Anlässlich der Befragung an der Hauptverhandlung bestätigte die Beschuldigte ihre bisherigen Angaben. Sie ergänzte, dass sie vor der Ausfuhr und aufgrund des Vermerks im TARES den Beschuldigten B. kon- taktiert habe. Ihre Pflicht als Zolldeklarantin habe darin bestanden, mit dem Kun- den abzuklären, ob die Sendung bewilligungspflichtig sei oder nicht. Sie erhalte vom SECO keine Auskunft, da sich der Exporteur an das SECO wenden müsse. Sie müsse sich auf die Auskunft des Exporteurs betreffend der Bewilligungs- pflicht vertrauen können. Über technische Kenntnisse verfüge sie nicht und sie verstehe auch nicht, was in Anhang 2, Teil 2 zur GKV zur Exportkontrollnummer 2B201 stehe. Auch wenn sie die technischen Angaben gehabt hätte, wäre sie im Zusammenhang mit Anhang 2 zur GKV nicht weitergekommen (TPF pag. 2-931-</w:t>
      </w:r>
    </w:p>
    <w:p>
      <w:r>
        <w:rPr>
          <w:b/>
        </w:rPr>
        <w:t>E. 4</w:t>
      </w:r>
    </w:p>
    <w:p>
      <w:r>
        <w:t>ff.)</w:t>
      </w:r>
    </w:p>
    <w:p>
      <w:r>
        <w:t>- 15 -</w:t>
      </w:r>
    </w:p>
    <w:p>
      <w:r>
        <w:t>Gemäss SECO ist es aufgrund der Zolltarif-Nummer nicht möglich, zu beurteilen, ob Güter der Bewilligungspflicht nach Art. 3 Abs. 1 GKV unterliegen. Das Schwei- zer Zolltarifsystem TARES gibt lediglich den Hinweis auf eine mögliche Bewilli- gungspflicht im Rahmen der GKV (TPF pag. 2-291-10.;…-26). Dem Merkblatt zur Bewilligungspflicht im TARES ist zudem zu entnehmen, dass der Exporteur die definitive Bewilligungspflicht der Anhänge 2, 3 und 5 der GKV beurteilen müsse (BA pag. 13-01-9). Auch die Güterkontrollverordnung enthält in dessen 5. Ab- schnitt (Pflichten des Exporteurs) – entgegen der Auffassung des SECO (TPF pag. 2-291-9) – keine Verpflichtungen, wonach der Spediteur die Bewilligungs- pflicht gemäss Art. 3 Abs. 1 GKV abzuklären oder zu belegen hat. Mit der Abklä- rung im TARES, dass nur, aber immerhin, auf eine mögliche Bewilligungsflicht nach Güterkontrollgesetz hinweist („Bewilligungspflicht BWIP“) und der korrekten Handlungsweise, nämlich den Exporteur wegen der mutmasslich fehlenden Aus- fuhrbewilligung zu benachrichtigen, hat die beschuldigte Zolldeklarantin A. vor- liegend sämtliche ihr im Rahmen eines Speditionsauftrages zumutbaren (güter- kontrollrechtlichen) Abklärungen für die Anmeldung der hier interessierenden Güter vorgenommen. Ihre diesbezüglichen Aussagen erscheinen glaubhaft und überzeugend. Als Zolldeklarantin war sie weder gehalten, noch aufgrund der zum Tatzeitpunkt geltenden Güterkontrollgesetzgebung (siehe dazu auch unter E. 2.3.3) rechtlich verpflichtet, zusätzliche Abklärungen in Bezug auf die Bewilli- gungspflicht der fraglichen Güter zu tätigen, sondern durfte sich auf die vom Ex- porteur erhaltenen Informationen verlassen bzw. auf deren Richtigkeit vertrauen. Darüber hinaus bestand für sie keine gesetzliche Verpflichtung, eine allfällige Be- willigungsfreiheit mit entsprechenden Unterlagen nachweisen zu müssen.</w:t>
      </w:r>
    </w:p>
    <w:p>
      <w:r>
        <w:t>Insgesamt ist der Beschuldigten A. sowohl mangels hinreichender rechtlicher Grundlagen, als auch infolge fehlender Sorgfaltspflichtverletzung kein strafrecht- lich relevantes Fehlverhalten vorzuwerfen. Die Beschuldigte A. ist folglich freizu- sprechen.</w:t>
      </w:r>
    </w:p>
    <w:p>
      <w:r>
        <w:t>Verfahrenskosten Es bestehen vorliegend keine Anhaltspunkte für eine allfällige Kostenauferlegung an die freigesprochene Person gemäss Art. 426 Abs. 2 StPO. Die Verfahrens- kosten sind demnach von der Eidgenossenschaft zu tragen.</w:t>
      </w:r>
    </w:p>
    <w:p>
      <w:r>
        <w:t>- 16 -</w:t>
      </w:r>
    </w:p>
    <w:p>
      <w:r>
        <w:t>Entschädigungen</w:t>
      </w:r>
    </w:p>
    <w:p>
      <w:r>
        <w:t>Wird die beschuldigte Person ganz oder teilweise freigesprochen oder wird das Verfahren gegen sie eingestellt, so hat sie gemäss Art. 429 Abs. 1 StPO unter anderem Anspruch auf Entschädigung ihrer Aufwendungen für die angemessene Ausübung ihrer Verfahrensrechte (lit. a). Die Entschädigung richtet sich nach dem Reglement des Bundesstrafgerichts vom 31. August 2010 über die Kosten, Gebühren und Entschädigungen in Bun- desstrafverfahren (BStKR, SR 173.713.162; vgl. Art. 22 Abs. 3). Gemäss Art. 10 BStKR sind auf die Berechnung der Entschädigung der freigesprochenen Person die Bestimmungen über die amtliche Verteidigung anwendbar. Die Anwaltskos- ten umfassen das Honorar und die notwendigen Auslagen, namentlich für Reise, Verpflegung und Unterkunft sowie Porti und Telefonspesen (Art. 11 Abs. 1 BStKR). Das Honorar wird nach dem notwendigen und ausgewiesenen Zeitauf- wand des Anwalts für die Verteidigung bemessen, wobei der Stundenansatz min- destens 200 und höchstens 300 Franken beträgt (Art. 12 Abs. 1 BStKR). Bei Fällen im ordentlichen Schwierigkeitsbereich beträgt der Stundenansatz gemäss ständiger Praxis der Strafkammer Fr. 230.– für Arbeitszeit und Fr. 200.– für Rei- sezeit. Der Stundenansatz für Praktikanten beträgt in der Regel Fr. 100.– (Urteile des Bundesstrafgerichts SK.2015.12 vom 15. September 2015 E. 9.2; SN.2011.16 vom 5. Oktober 2011 E. 4.1, je m.w.H.). Die Auslagen werden im Rahmen der Höchstansätze aufgrund der tatsächlichen Kosten vergütet (Art. 13 BStKR).</w:t>
      </w:r>
    </w:p>
    <w:p>
      <w:r>
        <w:t>Die Beschuldigte beantragt den Ersatz der Kosten ihrer Wahlverteidigung. Rechtsanwalt Marcel Strehler macht in seiner Kostennote einen Arbeitsaufwand von 26.63 Stunden zu einem Stundenansatz von Fr. 270.– für seine Arbeit (20.63 Stunden) und 6 Stunden Reisezeit à Fr. 200.– sowie Auslagen von Fr. 183.90 (zzgl. MWST), ausmachend insgesamt Fr. 7‘510.30, geltend (TPF 2-925.-8 ff.).</w:t>
      </w:r>
    </w:p>
    <w:p>
      <w:r>
        <w:t>Der geltend gemachte Zeitaufwand und die Auslagen des Verteidigers erschei- nen grundsätzlich angemessen mit folgender Ausnahme: Die Korrespondenz mit Rechtsschutzversicherungen ist nicht von der Eidgenossenschaft zu tragen, weshalb 0.63 Stunden beim Arbeitsaufwand abzuziehen sind. Folglich beläuft sich der Arbeitsaufwand auf 20 Stunden. Auch ist der Stundenansatz auf Fr. 230.– zu reduzieren; das Verfahren stellte keine überdurchschnittlichen An- forderungen an die Verteidigung. Dies ergibt einen Arbeitsaufwand von 20 Stun- den à Fr. 230.– (gesamthaft Fr. 4‘600.–), einer Reisezeit von 6 Stunden à Fr. 200.– (gesamthaft Fr. 1‘200.–) sowie Auslagen in der Höhe von Fr. 183.90.</w:t>
      </w:r>
    </w:p>
    <w:p>
      <w:r>
        <w:t>- 17 - Unter Berücksichtigung der Mehrwertsteuer ist die Beschuldigte A. demnach durch die Eidgenossenschaft aufgerundet mit Fr. 6‘450.– für die Kosten der Wahlverteidigung zu entschädigen.</w:t>
      </w:r>
    </w:p>
    <w:p>
      <w:r>
        <w:t>Der Beschuldigte B. beantragt den Ersatz der Kosten seiner Wahlverteidigung. Rechtsanwalt David Husmann macht in seiner Kostennote einen Arbeitsaufwand von 11.7 Stunden zu einem Stundenansatz von Fr. 350.– für seine Arbeits- und Reisezeit sowie Auslagen von Fr. 150.– (zzgl. MWST) geltend (TPF pag. 2-925- 25).</w:t>
      </w:r>
    </w:p>
    <w:p>
      <w:r>
        <w:t>Der geltend gemachte Zeitaufwand und die Auslagen des Verteidigers erschei- nen grundsätzlich angemessen, jedoch entspricht die Kostennote nicht den reg- lementarischen Vorgaben (vgl. E. 4.1). Der Stundenansatz ist auf Fr. 230.– zu reduzieren; das Verfahren stellte keine überdurchschnittlichen Anforderungen an die Verteidigung. Beim Arbeitsaufwand ist die Dauer der Hauptverhandlung von 3 Stunden hinzuzurechnen. Folglich werden 10.7 Stunden à Fr. 230.–, gesamt- haft ausmachend Fr. 2‘461.–) für den Arbeitsaufwand berechnet. Die Reisezeit von 4 Stunden sind praxisgemäss mit Fr. 200.– zu vergüten (gesamthaft Fr. 800.–). Die Barauslagen wurden nicht detailliert ausgewiesen, weshalb eine Kleinkostenpauschale von 3% errechnet wird (Fr. 97.83.–) Unter Berücksichti- gung der Mehrwertsteuer ist der Beschuldigte B. demnach durch die Eidgenos- senschaft aufgerundet mit Fr 3‘650.– für die Kosten der Wahlverteidigung zu ent- schädigen.</w:t>
      </w:r>
    </w:p>
    <w:p>
      <w:r>
        <w:t>Weitere Entschädigungsansprüche wurden von den Beschuldigten nicht geltend gemacht und sind auch nicht geschuldet.</w:t>
      </w:r>
    </w:p>
    <w:p>
      <w:r>
        <w:t>- 18 - Die Einzelrichterin erkennt: I. A.</w:t>
      </w:r>
    </w:p>
    <w:p>
      <w:r>
        <w:t>A. wird freigesprochen.</w:t>
      </w:r>
    </w:p>
    <w:p>
      <w:r>
        <w:t>Die Kosten des Verfahrens trägt die Eidgenossenschaft.</w:t>
      </w:r>
    </w:p>
    <w:p>
      <w:r>
        <w:t>Die Eidgenossenschaft hat A. für die Kosten ihrer Verteidigung in der Höhe von CHF 6‘450.00 inkl. MWST zu entschädigen. II. B.</w:t>
      </w:r>
    </w:p>
    <w:p>
      <w:r>
        <w:t>B. wird freigesprochen.</w:t>
      </w:r>
    </w:p>
    <w:p>
      <w:r>
        <w:t>Die Kosten des Verfahrens trägt die Eidgenossenschaft.</w:t>
      </w:r>
    </w:p>
    <w:p>
      <w:r>
        <w:t>Die Eidgenossenschaft hat B. für die Kosten seiner Verteidigung in der Höhe von CHF 3‘650.00 inkl. MWST zu entschädigen. III.</w:t>
      </w:r>
    </w:p>
    <w:p>
      <w:r>
        <w:t>Dieses Urteil wird in der Hauptverhandlung eröffnet und durch die Einzelrichterin mündlich begründet. Den anwesenden Parteien wird das Urteilsdispositiv ausgehändigt, der Bun- desanwaltschaft wird das Dispositiv zugestellt. Im Namen der Strafkammer des Bundesstrafgerichts</w:t>
      </w:r>
    </w:p>
    <w:p>
      <w:r>
        <w:t>Die Einzelrichterin Die Gerichtsschreiberin</w:t>
      </w:r>
    </w:p>
    <w:p>
      <w:r>
        <w:t>- 19 - Eine vollständige schriftliche Ausfertigung wird zugestellt an  Bundesanwaltschaft, Frau Manuela Graber, Staatsanwältin des Bundes  Herrn Rechtsanwalt Marcel Strehler, Verteidiger von A. (Beschuldigte)  Herrn Rechtsanwalt David Husmann, Verteidiger von B. (Beschuldigter) Nach Eintritt der Rechtskraft mitzuteilen an  Bundesanwaltschaft als Vollzugsbehörde (vollständig)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Gegen den Entschädigungsentscheid kann die amtliche Verteidigung innert 10 Tagen schriftlich und begrün- det Beschwerde bei der Beschwerdekammer des Bundesstrafgerichts führen (Art. 135 Abs. 3 lit. a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20. Dezember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