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SK.2016.9 vom 15. Juli 2016</w:t>
      </w:r>
    </w:p>
    <w:p>
      <w:r>
        <w:t>Bundesstrafgericht, 2016-07-15, DE</w:t>
      </w:r>
    </w:p>
    <w:p>
      <w:r>
        <w:rPr>
          <w:b/>
        </w:rPr>
        <w:t xml:space="preserve">Quelle: </w:t>
      </w:r>
      <w:r>
        <w:t>https://mcp.opencaselaw.ch/entscheid/bstger_SK.2016.9</w:t>
      </w:r>
    </w:p>
    <w:p>
      <w:r>
        <w:t>FR: TPF SK.2016.9 du 15 juillet 2016</w:t>
      </w:r>
    </w:p>
    <w:p>
      <w:r>
        <w:t>IT: TPF SK.2016.9 del 15 luglio 2016</w:t>
      </w:r>
    </w:p>
    <w:p>
      <w:pPr>
        <w:pStyle w:val="Heading2"/>
      </w:pPr>
      <w:r>
        <w:t>Regeste</w:t>
      </w:r>
    </w:p>
    <w:p>
      <w:r>
        <w:t>Verstoss gegen das Verbot der Gruppierungen "Al-Qaïda" und "Islamischer Staat" sowie verwandter Gruppierungen, eventualiter Unterstützung einer kriminellen Organisation, mehrfache Gewaltdarstellung.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Beschuldigte A. sei schuldig zu sprechen: ̶ des Verstosses gegen Art. 2 Abs. 1 des Bundesgesetzes über das Verbot der Gruppierungen "Al-Qaïda" und "Islamischer Staat" sowie verwandter Organisationen; eventualiter der Unterstützung einer kriminellen Organisation gemäss Art. 260ter Ziff. 1 StGB; ̶ der mehrfachen Gewaltdarstellungen gemäss Art. 135 Abs. 1 und Abs. 1bis StGB.</w:t>
      </w:r>
    </w:p>
    <w:p>
      <w:r>
        <w:rPr>
          <w:b/>
        </w:rPr>
        <w:t>E. 2</w:t>
      </w:r>
    </w:p>
    <w:p>
      <w:r>
        <w:t>A. sei zu einer bedingten Freiheitsstrafe von 2 Jahren zu verurteilen, unter Auf- erlegung einer Probezeit von 3 Jahren (Art. 42, 44 und 47 StGB).</w:t>
      </w:r>
    </w:p>
    <w:p>
      <w:r>
        <w:rPr>
          <w:b/>
        </w:rPr>
        <w:t>E. 3</w:t>
      </w:r>
    </w:p>
    <w:p>
      <w:r>
        <w:t>Die angeordneten Ersatzmassnahmen seien aufzuheben (Art. 237 Abs. 5 StPO).</w:t>
      </w:r>
    </w:p>
    <w:p>
      <w:r>
        <w:rPr>
          <w:b/>
        </w:rPr>
        <w:t>E. 4</w:t>
      </w:r>
    </w:p>
    <w:p>
      <w:r>
        <w:t>Über die beschlagnahmten Gegenstände sei gemäss den Anträgen in der An- klageschrift vom 18. Februar 2016 zu verfahren.</w:t>
      </w:r>
    </w:p>
    <w:p>
      <w:r>
        <w:rPr>
          <w:b/>
        </w:rPr>
        <w:t>E. 5</w:t>
      </w:r>
    </w:p>
    <w:p>
      <w:r>
        <w:t>Fürsprecher Daniel Weber, sei für die amtliche Verteidigung von A. in gerichtlich zu bestimmender Höhe aus der Kasse der Eidgenossenschaft zu entschädigen (Art. 135 Abs. 1 und 2 StPO). A. hat die Entschädigung für die amtliche Verteidigung an die Eidgenossenschaft zurückzuzahlen, sobald er dazu in der Lage ist (Art. 426 Abs. 1 i.V.m. Art. 135 Abs. 4 StPO).</w:t>
      </w:r>
    </w:p>
    <w:p>
      <w:r>
        <w:rPr>
          <w:b/>
        </w:rPr>
        <w:t>E. 6</w:t>
      </w:r>
    </w:p>
    <w:p>
      <w:r>
        <w:t>Die Verfahrenskosten, bestehend aus: ̶ Fr. 10'000.-- Gebühr für das Vorverfahren ̶ Fr. 13'469.90 für Auslagen der Bundesanwaltschaft im Vorverfahren ̶ Fr. 1'500.-- Gebühr der Bundesanwaltschaft für das Hauptverfahren ̶ zuzüglich Kosten des Gerichts für das Hauptverfahren seien A. aufzuerlegen (Art. 422 ff. StPO).</w:t>
      </w:r>
    </w:p>
    <w:p>
      <w:r>
        <w:t>Anträge der Verteidigung: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