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SK.2016.47 vom 18. November 2016</w:t>
      </w:r>
    </w:p>
    <w:p>
      <w:r>
        <w:t>Bundesstrafgericht, 2016-11-18, IT</w:t>
      </w:r>
    </w:p>
    <w:p>
      <w:r>
        <w:rPr>
          <w:b/>
        </w:rPr>
        <w:t xml:space="preserve">Quelle: </w:t>
      </w:r>
      <w:r>
        <w:t>https://mcp.opencaselaw.ch/entscheid/bstger_SK.2016.47</w:t>
      </w:r>
    </w:p>
    <w:p>
      <w:r>
        <w:t>FR: TPF SK.2016.47 du 18 novembre 2016</w:t>
      </w:r>
    </w:p>
    <w:p>
      <w:r>
        <w:t>IT: TPF SK.2016.47 del 18 novembre 2016</w:t>
      </w:r>
    </w:p>
    <w:p>
      <w:pPr>
        <w:pStyle w:val="Heading2"/>
      </w:pPr>
      <w:r>
        <w:t>Regeste</w:t>
      </w:r>
    </w:p>
    <w:p>
      <w:r>
        <w:t>Istanza di condono delle spese procedurali e di eliminazione dell'iscrizione delle condanne dal casellario giudiziale.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LOAP). Mediante il reclamo si possono censurare: a. la violazione del diritto, compreso l’eccesso e l’abuso del potere di apprezzamento e la denegata o ritardata giustizia; b. l’accertamento inesatto o incompleto dei fatti; c. l’ina- deguatezza (art. 393 cpv. 2 CPP).</w:t>
      </w:r>
    </w:p>
    <w:p>
      <w:r>
        <w:t>Spedizione: 18 novembre 2016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