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SK.2016.41 vom 28. November 2016</w:t>
      </w:r>
    </w:p>
    <w:p>
      <w:r>
        <w:t>Bundesstrafgericht, 2016-11-28, FR</w:t>
      </w:r>
    </w:p>
    <w:p>
      <w:r>
        <w:rPr>
          <w:b/>
        </w:rPr>
        <w:t xml:space="preserve">Quelle: </w:t>
      </w:r>
      <w:r>
        <w:t>https://mcp.opencaselaw.ch/entscheid/bstger_SK.2016.41</w:t>
      </w:r>
    </w:p>
    <w:p>
      <w:r>
        <w:t>FR: TPF SK.2016.41 du 28 novembre 2016</w:t>
      </w:r>
    </w:p>
    <w:p>
      <w:r>
        <w:t>IT: TPF SK.2016.41 del 28 novembre 2016</w:t>
      </w:r>
    </w:p>
    <w:p>
      <w:pPr>
        <w:pStyle w:val="Heading2"/>
      </w:pPr>
      <w:r>
        <w:t>Regeste</w:t>
      </w:r>
    </w:p>
    <w:p>
      <w:r>
        <w:t>Faux dans les titres (art. 251 CP); renvoi de l'accusation; Renvoi au MPC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mai 2009, mais répertoriait huit faux formulaires d’identification de preneurs de crédits, dont seuls deux figuraient précédemment en copie au dossier intégral de la procédure, remis le 7 septembre 2016; qu’en outre, l’un des formulaires identifié par la Cour ne faisait pas partie des huit retenus à l’occasion de son offre de preuve par le MPC;  qu’il s’avère dès lors que l’acte d’accusation du 18 juillet 2016 doit être considéré par trop imprécis dans la manière de dresser la liste des actes reprochés au pré- venu; en cela, il ne respecte pas les exigences de l’art. 325 al. 1 let. f CPP; si, selon le Parquet, l’établissement de huit faux formulaires était reproché, il conve- nait de le mentionner dans l’acte d’accusation, en individualisant les actes concer- nés de manière exhaustive (cela vaut également pour la fausse quittance de loyer), afin que le prévenu sache de quoi il est accusé et puisse se défendre en consé- quence et que le tribunal puisse se faire tout de suite une idée précise de l’état de fait dont il est saisi;  quant au dossier intégral de la cause, transmis le 7 septembre 2016, il ne l’est manifestement pas; le stade de l’invitation à formuler les offres de preuve n’est en outre pas destiné à permettre à l’accusation de compléter un dossier qui n’a pas été établi régulièrement, soit dans le respect de l’art. 100 CPP;  que, partant, il convient de renvoyer l’accusation et le dossier au MPC pour qu’il les corrige ou les complète, un jugement au fond ne pouvant encore être rendu (art. 329 al. 2 CPP);  que la présente décision est rendue sans frais (art. 421 al. 2 let. a CPP).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