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SK.2016.22 vom 21. Juni 2016</w:t>
      </w:r>
    </w:p>
    <w:p>
      <w:r>
        <w:t>Bundesstrafgericht, 2016-06-21, DE</w:t>
      </w:r>
    </w:p>
    <w:p>
      <w:r>
        <w:rPr>
          <w:b/>
        </w:rPr>
        <w:t xml:space="preserve">Quelle: </w:t>
      </w:r>
      <w:r>
        <w:t>https://mcp.opencaselaw.ch/entscheid/bstger_SK.2016.22</w:t>
      </w:r>
    </w:p>
    <w:p>
      <w:r>
        <w:t>FR: TPF SK.2016.22 du 21 juin 2016</w:t>
      </w:r>
    </w:p>
    <w:p>
      <w:r>
        <w:t>IT: TPF SK.2016.22 del 21 giugno 2016</w:t>
      </w:r>
    </w:p>
    <w:p>
      <w:pPr>
        <w:pStyle w:val="Heading2"/>
      </w:pPr>
      <w:r>
        <w:t>Regeste</w:t>
      </w:r>
    </w:p>
    <w:p>
      <w:r>
        <w:t>Erwerben und Lagern falschen Geldes (Art. 244 StGB), mehrfaches in Umlaufsetzen falschen Geldes (Art. 242 Abs. 1 StGB), mehrfache Widerhandlungen (Besitz, Konsum, Anstalten treffen und Verkauf) gegen das Betäubungsmittelgesetz (Art. 19 Abs. 1 BetmG und Art. 19a BetmG), Hinderung einer Amtshandlung (Art. 286 StGB), mehrfache einfache Körperverletzung (Art. 123 Ziff. 2 StGB), mehrfache Tätlichkeiten (Art. 126 Abs. 1 StGB), Drohung (Art. 180 Abs. 2 Bst. b StGB), Beschimpfung (Art. 177 Abs. 1 StGB),...</w:t>
      </w:r>
    </w:p>
    <w:p>
      <w:pPr>
        <w:pStyle w:val="Heading2"/>
      </w:pPr>
      <w:r>
        <w:t>Erwägungen</w:t>
      </w:r>
    </w:p>
    <w:p>
      <w:r>
        <w:rPr>
          <w:b/>
        </w:rPr>
        <w:t>E. 12</w:t>
      </w:r>
    </w:p>
    <w:p>
      <w:r>
        <w:t>September 2013, 25. November 2013, 25. Februar 2014, 20. und 23. September 2014 sowie 5. Oktober 2014 (vgI. Ziff. 1.2.5.1, 1.2.5.2, 1.2.5.3, 1.2.6, 1.2.7, 1.2.8, 1.2.9, 1.2.10.1, 1.2.10.2, 1.2.10.3, 1.2.12 der Anklageschrift der Bundesanwaltschaft vom 3. Dezember 2015 im Verfahren SK.2015.53 des Bundesstrafgerichtes).</w:t>
      </w:r>
    </w:p>
    <w:p>
      <w:r>
        <w:t>2. B. anerkennt, A. aus den Vorfällen gemäss Ziffer 1 hiervor eine Genugtuung in der Höhe von CHF 1‘000.00 zu schulden. B. verpflichtet sich, den Betrag von CHF 1‘000.00 innert 60 Tagen seit gerichtlicher Genehmigung der vorliegenden Vereinbarung zu bezahlen.</w:t>
      </w:r>
    </w:p>
    <w:p>
      <w:r>
        <w:t>3. A. zieht ihre Privatklage im Straf- und Zivilpunkt sowie sämtliche gestellten Strafanträge im Verfahren SK.2015.53 des Bundesstrafgerichtes gegen B. zurück.</w:t>
      </w:r>
    </w:p>
    <w:p>
      <w:r>
        <w:t>4. A. beantragt dem Bundesstrafgericht die Sistierung des Strafverfahrens bezgl. den Ziff. 1.2.5.1, 1.2.5.2, 1.2.5.3, 1.2.6 sowie 1.2.7 der Anklageschrift der Bundesanwaltschaft vom 3. Dezember 2015 im Verfahren SK.2015.53 des Bundesstrafgerichtes nach Art. 55a StGB wegen mehrfacher einfacher Körperverletzung, Tätlichkeiten und Drohung für die Dauer von sechs Monaten. Das Verfahren wird wieder an die Hand genommen, wenn A. ihre Zustimmung innerhalb von sechs Monaten seit der Sistierung schriftlich oder mündlich widerruft. Wird die Zustimmung nicht wider- rufen, so wird die Einstellung des Verfahrens verfügt.</w:t>
      </w:r>
    </w:p>
    <w:p>
      <w:r>
        <w:t>5. Die Parteien beantragen die Einstellung des Strafverfahrens gegen B. aufgrund der zurückge- zogenen Strafanträge durch A. bezgl. den Ziff. 1.2.8, 1.2.9, 1.2.10.1, 1.2.10.2 sowie 1.2.12 der Anklageschrift der Bundesanwaltschaft vom 3. Dezember 2015 im Verfahren SK.2015.53 des Bundesstrafgerichtes.</w:t>
      </w:r>
    </w:p>
    <w:p>
      <w:r>
        <w:t>6. Im Übrigen erklärt A. ihr Desinteresse an der Bestrafung von B. wegen mehrfachen Ungehor- sams gegen amtliche Verfügungen gemäss den Ziff. 1.2.11.1, 1.2.11.2 und 1.2.11.3 der Anklage- schrift der Bundesanwaltschaft vom 3. Dezember 2015 im Verfahren SK.2015.53 des Bun- desstrafgerichtes.</w:t>
      </w:r>
    </w:p>
    <w:p>
      <w:r>
        <w:t>7. B. übernimmt die entstandenen Verfahrenskosten sowie, vorbehältlich von Schuldsprüchen und des Rechts auf unentgeltliche Rechtspflege, die Parteikosten von A..</w:t>
      </w:r>
    </w:p>
    <w:p>
      <w:r>
        <w:t>8. Die Parteien beantragen beim Bundesstrafgericht im Verfahren SK.2015.53 die Genehmigung dieser Vereinbarung.“  die Bundesanwaltschaft auf eine Stellungnahme hiezu verzichtete (SK.2015.53 pag. 10.510.3);</w:t>
      </w:r>
    </w:p>
    <w:p>
      <w:r>
        <w:t>- 4 -  A. mit Eingabe vom 26. Mai 2016 diese Vereinbarung und somit ihre Strafanträge sowie ihr Sistierungsersuchen widerrief (SK.2015.53 pag. 10.588.8);  ein zurückgezogener Strafantrag nicht nochmals gestellt werden kann (Art. 33 Abs. 2 StGB) und der Rückzug der entsprechenden Strafanträge somit definitiv ist;  das Ersuchen um Sistierung des Strafverfahrens i.S.v. Art. 55a StGB indes ohne Weiteres widerrufen werden kann (vgl. Art. 55a Abs. 2 StGB);  das Verfahren betreffend die Antragsdelikte gemäss Ziff. 1.2.6 (mehrfache Tätlich- keiten, Art. 126 Abs. 1 StGB), Ziff. 1.2.8 (Beschimpfung, Art. 177 StGB), Ziff. 1.2.9 (mehrfacher Hausfriedensbruch, Art. 186 StGB), Ziff. 1.2.10.1-2 (mehrfache Sach- beschädigung, Art. 144 Abs. 1 StGB) und Ziff. 1.2.12 (mehrfacher Missbrauch einer Fernmeldeanlage, Art. 179septies StGB) der Anklageschrift infolge Rückzugs des Straf- antrags vom Hauptverfahren SK.2015.53 abzutrennen (Art. 30 StGB), unter der Ge- schäftsnummer SK.2016.22 zu führen und einzustellen ist (Art. 329 Abs. 4 StPO);  über die weiteren Anklagepunkte anlässlich der Hauptverhandlung im Rahmen des Verfahrens SK.2015.53 zu entscheiden sein wird;  B. trotz (teilweiser) Verfahrenseinstellung die Verfahrenskosten zu tragen hat, zumal er rechtswidrig und schuldhaft die Einleitung des Verfahrens bewirkt (Art. 426 Abs. 2 StPO) und er sich zudem mit der Privatklägerin über eine Kostentragung geeinigt hat (vgl. Art. 427 Abs. 4 StPO);  über die Höhe der Verfahrenskosten im Rahmen des Verfahrens SK.2015.53 ent- schieden wird;  über die Entschädigung des unentgeltlichen Rechtsbeistandes der Privatklägerin, Rechtsanwalt Martin Dreifuss (vgl. pag. 15.2.15), im Rahmen des Urteils im Verfah- ren SK.2015.53 zu entscheiden sein wird;  das Gesuch der Privatklägerin um Parteientschädigung nach Art. 433 StPO abzu- weisen ist, zumal diese bereits unentgeltlich vertreten ist und ihr somit keine derarti- gen Kosten entstanden sein können;</w:t>
      </w:r>
    </w:p>
    <w:p>
      <w:r>
        <w:t>- 5 - beschliesst die Strafkammer: 1. Das Strafverfahren SK.2015.53 wird getrennt und in Bezug auf die Anklagepunkte Ziff. 1.2.6 (mehrfache Tätlichkeiten, Art. 126 Abs. 1 StGB), 1.2.8 (Beschimpfung, Art. 177 StGB), 1.2.9 (mehrfacher Hausfriedensbruch, Art. 186 StGB), 1.2.10.1-2 (mehrfache Sachbeschädigung, Art. 144 Abs. 1 StGB) und 1.2.12 (mehrfacher Miss- brauch einer Fernmeldeanlage, Art. 179septies StGB) unter der Verfahrensnummer SK.2016.22 geführt. 2. Das Strafverfahren SK.2016.22 gegen B. wird infolge Rückzugs der entsprechenden Strafanträge durch A. eingestellt. 3. Über die Verfahrenskosten und die Entschädigung des Rechtsvertreters der Privat- klägerin wird im Rahmen des Verfahrens SK.2015.53 entschieden. 4. Das Gesuch der Privatklägerin A. um Entschädigung nach Art. 433 StPO wird abge- wiesen. 5. Dieser Entscheid wird den Parteien des Verfahrens SK.2016.22 mitgeteilt. Dem im Verfahren SK.2015.53 Mitbeschuldigten C. wird eine Kopie des Entscheides zur Kenntnis zugestellt.</w:t>
      </w:r>
    </w:p>
    <w:p>
      <w:r>
        <w:t>Im Namen der Strafkammer des Bundesstrafgerichts</w:t>
      </w:r>
    </w:p>
    <w:p>
      <w:r>
        <w:t>Der Vorsitzende Der Gerichtsschreiber</w:t>
      </w:r>
    </w:p>
    <w:p>
      <w:r>
        <w:t>- 6 - 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 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22. Juni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