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SK.2016.20D vom 3. März 2017</w:t>
      </w:r>
    </w:p>
    <w:p>
      <w:r>
        <w:t>Bundesstrafgericht, 2017-03-03, DE</w:t>
      </w:r>
    </w:p>
    <w:p>
      <w:r>
        <w:rPr>
          <w:b/>
        </w:rPr>
        <w:t xml:space="preserve">Quelle: </w:t>
      </w:r>
      <w:r>
        <w:t>https://mcp.opencaselaw.ch/entscheid/bstger_SK.2016.20D</w:t>
      </w:r>
    </w:p>
    <w:p>
      <w:r>
        <w:t>FR: TPF SK.2016.20D du 3 mars 2017</w:t>
      </w:r>
    </w:p>
    <w:p>
      <w:r>
        <w:t>IT: TPF SK.2016.20D del 3 marzo 2017</w:t>
      </w:r>
    </w:p>
    <w:p>
      <w:pPr>
        <w:pStyle w:val="Heading2"/>
      </w:pPr>
      <w:r>
        <w:t>Regeste</w:t>
      </w:r>
    </w:p>
    <w:p>
      <w:r>
        <w:t>Säumnis; Disziplinarstrafe (Art. 64 Ziff. 1 StPO i.V.m. Art. 205 Abs. 4 StPO).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Gegen Ziffer 1 des schriftlich begründeten Entscheids kann gestützt auf Art. 64 Abs. 2 StPO innert 10 Tagen bei der Beschwerdekammer des Bundesstrafgerichts Be- schwerde geführt werden.</w:t>
      </w:r>
    </w:p>
    <w:p>
      <w:r>
        <w:rPr>
          <w:b/>
        </w:rPr>
        <w:t>E. 4</w:t>
      </w:r>
    </w:p>
    <w:p>
      <w:r>
        <w:t>Aufgrund der Abwesenheit der Parteien wird dieser Entscheid schriftlich zugestellt.</w:t>
      </w:r>
    </w:p>
    <w:p>
      <w:r>
        <w:t>Im Namen der Strafkammer des Bundesstrafgerichts</w:t>
      </w:r>
    </w:p>
    <w:p>
      <w:r>
        <w:t>Der Einzelrichter Der Gerichtsschreiber</w:t>
      </w:r>
    </w:p>
    <w:p>
      <w:r>
        <w:t>Eine vollständige schriftliche Ausfertigung wird zugestellt an - Bundesanwaltschaft - Fürsprecher K. (zweifach, Verteidiger von A. und Vertreter der B. AG)</w:t>
      </w:r>
    </w:p>
    <w:p>
      <w:r>
        <w:t>Nach Eintritt der Rechtskraft mitzuteilen an: - Aufsichtskommission über die Anwältinnen und Anwälte des Kantons Zürich - Bundesanwaltschaft als Vollzugsbehörde (vollständig)</w:t>
      </w:r>
    </w:p>
    <w:p>
      <w:r>
        <w:t>- 11 - Hinweise auf Rechtsmittelbelehrung</w:t>
      </w:r>
    </w:p>
    <w:p>
      <w:r>
        <w:t>Beschwerde an die Beschwerdekammer des Bundesstrafgerichts Gegen Verfügungen und Beschlüsse sowie die Verfahrenshandlungen der Strafkammer des Bundesstrafge- richts als erstinstanzliches Gericht, ausgenommen verfahrensleitende Entscheide, kann innert 10 Tagen schriftlich und begründet Beschwerde bei der Beschwerdekammer des Bundesstrafgerichts, Postfach 2720, 6501 Bellinzona, geführt werden (Art. 393 Abs. 1 lit. b und Art. 396 Abs. 1 StPO; Art. 37 Abs. 1 StBOG).</w:t>
      </w:r>
    </w:p>
    <w:p>
      <w:r>
        <w:t>Mit der Beschwerde können gerügt werden: a. Rechtsverletzungen, einschliesslich Überschreitung und Miss- brauch des Ermessens, Rechtsverweigerung und Rechtsverzögerung; b. die unvollständige oder unrichtige Feststellung des Sachverhalts; c. Unangemessenheit (Art. 393 Abs. 2 StPO).</w:t>
      </w:r>
    </w:p>
    <w:p>
      <w:r>
        <w:t>Versand: 30. Mai 2017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