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SK.2015.8 vom 27. Mai 2015</w:t>
      </w:r>
    </w:p>
    <w:p>
      <w:r>
        <w:t>Bundesstrafgericht, 2015-05-27, FR</w:t>
      </w:r>
    </w:p>
    <w:p>
      <w:r>
        <w:rPr>
          <w:b/>
        </w:rPr>
        <w:t xml:space="preserve">Quelle: </w:t>
      </w:r>
      <w:r>
        <w:t>https://mcp.opencaselaw.ch/entscheid/bstger_SK.2015.8</w:t>
      </w:r>
    </w:p>
    <w:p>
      <w:r>
        <w:t>FR: TPF SK.2015.8 du 27 mai 2015</w:t>
      </w:r>
    </w:p>
    <w:p>
      <w:r>
        <w:t>IT: TPF SK.2015.8 del 27 maggio 2015</w:t>
      </w:r>
    </w:p>
    <w:p>
      <w:pPr>
        <w:pStyle w:val="Heading2"/>
      </w:pPr>
      <w:r>
        <w:t>Regeste</w:t>
      </w:r>
    </w:p>
    <w:p>
      <w:r>
        <w:t>Infractions simple et aggravée, ainsi que contravention à la loi fédérale sur les stupéfiants (art. 19 al. 1 et al. 2 let. c, art. 19a ch. 1 LStup), blanchiment d'argent (art. 305bis CP)</w:t>
      </w:r>
    </w:p>
    <w:p>
      <w:pPr>
        <w:pStyle w:val="Heading2"/>
      </w:pPr>
      <w:r>
        <w:t>Erwägungen</w:t>
      </w:r>
    </w:p>
    <w:p>
      <w:r>
        <w:rPr>
          <w:b/>
        </w:rPr>
        <w:t>E. 1</w:t>
      </w:r>
    </w:p>
    <w:p>
      <w:r>
        <w:t>Questions préjudicielles</w:t>
      </w:r>
    </w:p>
    <w:p>
      <w:r>
        <w:rPr>
          <w:b/>
        </w:rPr>
        <w:t>E. 1.1</w:t>
      </w:r>
    </w:p>
    <w:p>
      <w:r>
        <w:t>Compétence de la Cour à raison de la matière En application de l'art. 35 de la loi fédérale sur l'organisation des autorités pénales de la Confédération du 19 mars 2010 (LOAP; RS 173.71) et des art. 23 et 24 du code de procédure pénale suisse du 5 octobre 2007 (CPP; RS 312.0), la Cour examine d'office si sa compétence à raison de la matière est donnée. Initialement ouverte sur la base de l'art. 24 CPP (260ter, 260quinquies et 305bis CP), la procédure pénale fédérale contre la prévenue a ensuite été étendue, suite à la reprise de la procédure zurichoise, au chef d'infraction à la LStup. À ce stade de la procédure, quand bien même les infractions de compétence fédérale ont fait l'objet d'un classement (v. supra let. A), la Cour ne saurait, pour des motifs impératifs d'efficacité et de célérité, remettre en cause sa compétence (ATF 133 IV 235 consid. 7.1). La compétence à raison de la matière est ainsi donnée à la Cour.</w:t>
      </w:r>
    </w:p>
    <w:p>
      <w:r>
        <w:rPr>
          <w:b/>
        </w:rPr>
        <w:t>E. 1.2</w:t>
      </w:r>
    </w:p>
    <w:p>
      <w:r>
        <w:t>Compétence de la Cour à raison du lieu Le Code pénal suisse est applicable à quiconque commet un crime ou un délit en Suisse (art. 3 CP). À teneur de l'art. 8 CP, un crime ou un délit est réputé commis tant au lieu où l'auteur a agi ou aurait dû agir qu'au lieu où le résultat s'est produit. Concernant les actes de complicité d'infraction à la LStup, tout d'abord, ils ont été commis en Suisse et constituent une forme de participation à une infraction principale dont le résultat s'est produit en Suisse, puisqu'il s'agissait d'un trafic de khat partant du Kenya, transitant par les Pays-Bas et l'Allemagne, à destination de la Suisse, où la marchandise était vendue. Il en va de même du trafic de drogue que la prévenue a organisé et géré, pour lequel le khat avait également comme destination finale la Suisse, d'où elle a elle-même principalement agi, à Z. Quant aux infractions de blanchiment d'argent et à la consommation de stupéfiants, A. a, pour la première, principalement agi à Z. et à X. et, pour la seconde, à Z.</w:t>
      </w:r>
    </w:p>
    <w:p>
      <w:r>
        <w:t>Partant, la compétence de la Cour à raison du lieu est donnée pour toutes les infractions.</w:t>
      </w:r>
    </w:p>
    <w:p>
      <w:r>
        <w:t>- 12 -</w:t>
      </w:r>
    </w:p>
    <w:p>
      <w:r>
        <w:rPr>
          <w:b/>
        </w:rPr>
        <w:t>E. 1.3</w:t>
      </w:r>
    </w:p>
    <w:p>
      <w:r>
        <w:t>de l'acte d'accusation en procédure simplifiée comme proposé par le tribunal le 16 avril 2015, du fait que l'infraction réprimée à l'art. 19a ch. 1 LStup est une contravention, au sens de l'art. 103 CP. La prescription de l'action pénale pour cette infraction est donc de 3 ans (art. 109 CP). 5.3 D'autre part, il se justifiait de réduire la sanction proposée, à deux titres. D'abord du fait que l'infraction à l'art. 19a ch. 1 LStup est passible uniquement de l'amende et qu'il s'agit d'une contravention et non d'un délit (v. supra consid. 5.3). Il se justifiait ensuite de tenir compte du fait que la peine à prononcer est complémentaire à la peine privative de liberté de six mois prononcée le 20 mai 2009 contre la prévenue par l'"Amtsgericht" de W. (D). En effet,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est également applicable lorsque la première condamnation a été prononcée à l'étranger (ATF 109 IV 90, consid. 2b), même si elle concerne des faits qui ne relèvent pas de la juridiction suisse (ATF 115 IV 17 consid. 5a). La proposition de modification du chiffre 4 de l'acte d'accusation a été acceptée par les parties, de sorte que les sanctions finalement proposées sont appropriées, au sens de l'art. 362, al. 1, let. c CPP. 5.4 L'octroi du sursis partiel à l'exécution de la peine tient compte de manière appropriée de la faute de l'auteur (art. 43 al. 1 CP). La partie à exécuter n'excède pas la moitié de la peine (art. 43 al. 2 CP) et tant la partie ferme que la partie à exécuter sont supérieures à 6 mois (art. 43 al. 3 CP). 5.5 Enfin, le MPC n'a pas révoqué le sursis prononcé par le Parquet de Bâle-Ville le 4 juillet 2012, mais a prolongé le délai d'épreuve à 4 ans, en guise d'avertissement, estimant que la prévenue ne commettrait pas de nouvelle</w:t>
      </w:r>
    </w:p>
    <w:p>
      <w:r>
        <w:t>- 15 - infraction (absence de pronostic défavorable). Cette mesure est conforme à l'art. 46 CP, qui prévoit que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Il peut adresser au condamné un avertissement et prolonger le délai d'épreuve de la moitié au plus de la durée fixée dans le jugement. Si la prolongation intervient après l'expiration du délai d'épreuve, elle court dès le jour où elle est ordonnée (al. 2). 6. Créance compensatrice 6.1 À teneur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la personne concernée (al. 2). L'autorité d'instruction peut placer sous séquestre, en vue de l'exécution d'une créance compensatrice, des valeurs patrimoniales appartenant à la personne concernée (al. 3). 6.2 En l'espèce, le trafic de khat organisé par la prévenue a généré un bénéfice net d'au moins CHF 130'000. L'art. 71 al. 1 CP impose d'ordonner contre la prévenue une créance compensatrice de l'Etat d'un montant équivalent. Le 10 avril 2013, le MPC a saisi, au domicile de la prévenue, les sommes d'argent suivantes: CHF 6'110,10, USD 500, EUR 50, DKK 100 et CAD 5, dont il n'a pas établi qu'elles provenaient du trafic de stupéfiants. Elles ne peuvent donc être confisquées; seul leur placement sous séquestre en vue de l'exécution d'une créance compensatrice peut ainsi être prononcé. Pour les motifs exposés à l'art. 71 al. 2 CP précité, le MPC propose de renoncer au prononcé d'une créance compensatrice d'un montant supérieur à celui des devises saisies; cette mesure apparaît justifiée en l'espèce. 7. Frais 7.1 Les frais de procédure se composent des émoluments visant à couvrir les frais et les débours effectivement supportés (art. 422 al. 1 CPP). Le prévenu supporte les frais de procédure s'il est condamné (art. 426 al. 1 CPP). Lorsque la</w:t>
      </w:r>
    </w:p>
    <w:p>
      <w:r>
        <w:t>- 16 -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 7.2 Selon l'acte d'accusation, la liste des coûts y annexée (16-03-0218) et les pièces justificatives figurant au dossier, les débours de la procédure préliminaire se sont chiffrés à CHF 19'389.95. Ce montant ne comprend ni les frais liés à la détention provisoire de la prévenue, ni les frais de traduction rendus nécessaires du fait que la prévenue ne parle pas la langue de la procédure. À cela s'ajoutent les émoluments par CHF 60'000, fixés dans le respect des principes ancrés à l'art. 6 RFPPF. Quant aux émoluments et aux débours de la procédure de première instance, ils sont fixés à CHF 1'000 (art. 7 let. b et art. 9 RFPPF). Les frais de procédure se chiffrent au total à CHF 80'389,95. La prévenue ayant été reconnue coupable de tous les chefs d'accusation, ces frais sont mis intégralement à sa charge (art. 426 al. 1 CPP).</w:t>
      </w:r>
    </w:p>
    <w:p>
      <w:r>
        <w:t>- 17 -</w:t>
      </w:r>
    </w:p>
    <w:p>
      <w:r>
        <w:rPr>
          <w:b/>
        </w:rPr>
        <w:t>E. 2</w:t>
      </w:r>
    </w:p>
    <w:p>
      <w:r>
        <w:t>Légalité de la procédure simplifiée (art. 362 al. 1 let. a CPP)</w:t>
      </w:r>
    </w:p>
    <w:p>
      <w:r>
        <w:rPr>
          <w:b/>
        </w:rPr>
        <w:t>E. 2.1</w:t>
      </w:r>
    </w:p>
    <w:p>
      <w:r>
        <w:t>À teneur de l'art. 362 al. 1 let. a CPP, le tribunal apprécie librement si l'exécution de la procédure simplifiée est conforme au droit. Selon l'art. 358 CPP, jusqu'à la mise en accusation, le prévenu qui a reconnu les faits déterminants pour l'appréciation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rPr>
          <w:b/>
        </w:rPr>
        <w:t>E. 2.2</w:t>
      </w:r>
    </w:p>
    <w:p>
      <w:r>
        <w:t>En l'espèce, A. a reconnu les faits déterminants pour l'appréciation juridique (conditions générales de la punissabilité) et a demandé l'exécution de la procédure simplifiée en temps utile. La peine privative de liberté requise par le MPC se situe dans la limite légale de l'art. 358 al. 2 CPP et l'acte d'accusation – accepté par la prévenue (art. 360 al. 2 CPP) – satisfait aux exigences de l'art. 360 al. 1 CPP. Par conséquent, les conditions légales de la procédure simplifiée sont données.</w:t>
      </w:r>
    </w:p>
    <w:p>
      <w:r>
        <w:rPr>
          <w:b/>
        </w:rPr>
        <w:t>E. 3</w:t>
      </w:r>
    </w:p>
    <w:p>
      <w:r>
        <w:t>Justification de la procédure simplifiée (art. 362 al. 1 let. a CPP)</w:t>
      </w:r>
    </w:p>
    <w:p>
      <w:r>
        <w:rPr>
          <w:b/>
        </w:rPr>
        <w:t>E. 3.1</w:t>
      </w:r>
    </w:p>
    <w:p>
      <w:r>
        <w:t>À teneur de l'art. 362 al. 1 let. a in fine CPP, le tribunal apprécie librement si l'exécution de la procédure simplifiée est justifiée. L'examen du caractère opportun de cette procédure s'effectue au moyen de critères objectifs (GEORGES GREINER/IRMA JAGGI, in Basler Kommentar, Schweizerische Strafprozessordnung, 2e éd., Bâle 2014 [ci-après: BSK-StPO], nos 7 et 8 ad art. 362 CPP; v. arrêt du Tribunal pénal fédéral SK.2013.26 du 22 août 2013, consid. 5).</w:t>
      </w:r>
    </w:p>
    <w:p>
      <w:r>
        <w:rPr>
          <w:b/>
        </w:rPr>
        <w:t>E. 3.2</w:t>
      </w:r>
    </w:p>
    <w:p>
      <w:r>
        <w:t>Les faits reprochés dans l'acte d'accusation, constitutifs des infractions aux art. 19 al. 1, al. 2 et 19a LStup, ainsi qu'art. 305bis CP, peuvent être synthétisés ainsi: après avoir prêté une assistance sporadique au trafic de khat de son neveu entre juin 2008 et octobre 2010, la prévenue, elle-même consommatrice de cette substance, a décidé d'organiser et de diriger son propre trafic régulier de khat, d'octobre 2010 jusqu'à son arrestation, en avril 2013. L'exécution de la procédure simplifiée dans le cas présent se justifie pour plusieurs raisons. D'une part, les faits décrits dans l'acte d'accusation sont clairs et la prévenue les a reconnus, dans une lettre de son conseil du 18 février 2014, puis globalement confirmés lors de ses auditions successives. Les éléments plus délicats, comme les quantités trafiquées (2 x 20 cartons par semaine) et le bénéfice obtenu (CHF 130'000), difficiles à établir en l'absence de preuve documentaire, ont fait</w:t>
      </w:r>
    </w:p>
    <w:p>
      <w:r>
        <w:t>- 13 - l'objet d'une reconnaissance de la part de la prévenue. Une administration complémentaire des preuves aux débats n'apparaît donc plus nécessaire à la recherche de la vérité matérielle, ce qui plaide en faveur de la procédure simplifiée (v. art. 361 al. 4 CPP). La conduite à terme de la procédure pénale dans un bref délai apparaît dès lors être dans l'intérêt de tous les intervenants. La procédure ordinaire étant par définition plus longue, l'exécution de la procédure simplifiée apparaît aussi légitime sous l'angle du principe de célérité (art. 5 CPP). Dans ces circonstances, la Cour estime que l'exécution de la procédure simplifiée est justifiée.</w:t>
      </w:r>
    </w:p>
    <w:p>
      <w:r>
        <w:rPr>
          <w:b/>
        </w:rPr>
        <w:t>E. 4</w:t>
      </w:r>
    </w:p>
    <w:p>
      <w:r>
        <w:t>Concordance de l'acte d'accusation avec le résultat des débats et le dossier (art. 362 al. 1 let. b CPP)</w:t>
      </w:r>
    </w:p>
    <w:p>
      <w:r>
        <w:rPr>
          <w:b/>
        </w:rPr>
        <w:t>E. 4.1</w:t>
      </w:r>
    </w:p>
    <w:p>
      <w:r>
        <w:t>Le tribunal apprécie librement si l'accusation concorde avec le résultat des débats et le dossier (art. 362 al. 1 let. b CPP). Selon la doctrine, cet examen est sommaire (GEORGES GREINER/IRMA JAGGI, in BSK-StPO, n° 9 ad art. 362 CPP; BERTRAND PERRIN, in Commentaire romand, Code de procédure pénale suisse, Bâle 2011 [ci-après: CR-CPP], n° 4 ad art. 362 CPP). Avec le consentement des parties, il est loisible au tribunal de modifier l'accusation ainsi que la qualification juridique des infractions (Message du Conseil fédéral du 21 décembre 2005 relatif à l'unification du droit de la procédure pénale in FF 2006 1057 ss, p. 1281).</w:t>
      </w:r>
    </w:p>
    <w:p>
      <w:r>
        <w:rPr>
          <w:b/>
        </w:rPr>
        <w:t>E. 4.2</w:t>
      </w:r>
    </w:p>
    <w:p>
      <w:r>
        <w:t>Les faits décrits dans l'acte d'accusation du 5 février 2015 concordent avec le dossier de la cause, à l'exception du deuxième point du ch. 1.1.1 ("peu avant le</w:t>
      </w:r>
    </w:p>
    <w:p>
      <w:r>
        <w:rPr>
          <w:b/>
        </w:rPr>
        <w:t>E. 4.3</w:t>
      </w:r>
    </w:p>
    <w:p>
      <w:r>
        <w:t>Lors des débats, la Cour a procédé à l'interrogatoire de A. À cette occasion, elle a constaté que la prévenue reconnaissait les faits fondant l'accusation modifiée conformément aux propositions de la Cour du 16 avril 2015.</w:t>
      </w:r>
    </w:p>
    <w:p>
      <w:r>
        <w:rPr>
          <w:b/>
        </w:rPr>
        <w:t>E. 4.4</w:t>
      </w:r>
    </w:p>
    <w:p>
      <w:r>
        <w:t>Partant, A. est reconnue coupable d'infraction grave, de complicité d'infraction, ainsi que de contravention à la LStup (art. 19 al. 1 et 2 let. c et art. 19a ch. 1 LStup) et de blanchiment d'argent (art. 305bis ch. 1 CP).</w:t>
      </w:r>
    </w:p>
    <w:p>
      <w:r>
        <w:t>- 14 - 5. Adéquation des sanctions (art. 362 al. 1 let. c CPP) 5.1 Le tribunal apprécie librement si les sanctions proposées sont appropriées (art. 362 al. 1 let. c CPP). Il appartient au tribunal de vérifier si les règles sur la fixation de la peine, respectivement celles relatives au sursis, sont respectées (BERTRAND PERRIN, in CR-CPP, n° 5 ad art. 362 CPP). Rien n'empêche le tribunal de s'écarter des sanctions proposées si les parties s'en déclarent d'accord devant lui (FF 2006 1281). 5.2 En l'espèce, il se justifiait, d'une part, de reformuler le 1er paragraphe du chapitre</w:t>
      </w:r>
    </w:p>
    <w:p>
      <w:r>
        <w:rPr>
          <w:b/>
        </w:rPr>
        <w:t>E. 8</w:t>
      </w:r>
    </w:p>
    <w:p>
      <w:r>
        <w:t>juin 2010 […] à la hauteur de Ratstätte Heiligenroth"). Dans ce paragraphe, il n'est en effet pas précisé où ni comment la prévenue aurait agi. Sur proposition du tribunal, les parties ont consenti à la suppression de ce paragraphe (v. art. 325, al. 1, let. f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