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SK.2015.60 vom 29. April 2016</w:t>
      </w:r>
    </w:p>
    <w:p>
      <w:r>
        <w:t>Bundesstrafgericht, 2016-04-29, DE</w:t>
      </w:r>
    </w:p>
    <w:p>
      <w:r>
        <w:rPr>
          <w:b/>
        </w:rPr>
        <w:t xml:space="preserve">Quelle: </w:t>
      </w:r>
      <w:r>
        <w:t>https://mcp.opencaselaw.ch/entscheid/bstger_SK.2015.60</w:t>
      </w:r>
    </w:p>
    <w:p>
      <w:r>
        <w:t>FR: TPF SK.2015.60 du 29 avril 2016</w:t>
      </w:r>
    </w:p>
    <w:p>
      <w:r>
        <w:t>IT: TPF SK.2015.60 del 29 aprile 2016</w:t>
      </w:r>
    </w:p>
    <w:p>
      <w:pPr>
        <w:pStyle w:val="Heading2"/>
      </w:pPr>
      <w:r>
        <w:t>Regeste</w:t>
      </w:r>
    </w:p>
    <w:p>
      <w:r>
        <w:t>Tätigkeit als Effektenhändler ohne Bewilligung (Art. 44 FINMAG i.V.m. Art. 10 Abs. 1 BEHG)</w:t>
      </w:r>
    </w:p>
    <w:p>
      <w:pPr>
        <w:pStyle w:val="Heading2"/>
      </w:pPr>
      <w:r>
        <w:t>Erwägungen</w:t>
      </w:r>
    </w:p>
    <w:p>
      <w:r>
        <w:rPr>
          <w:b/>
        </w:rPr>
        <w:t>E. 10</w:t>
      </w:r>
    </w:p>
    <w:p>
      <w:r>
        <w:t>Februar 2009 lautete die Firma D. AG (pag. 031 1). Gemäss Handelsregister bezweckte die B. seit der Statutenänderung vom 22. Dezember 2008 (vgl. infra, E. 2.3.1 ff.) den „Kauf und Verkauf von Beteiligungen von Unternehmen, insbe- sondere von Schweizer Unternehmen sowie Erstellung von Finanzanalysen, all- gemeine Finanzberatung und Erbringen weiterer Finanzdienstleistungen“ (pag. 031 1 f.). Der Verwaltungsrat der B. bestand im vorliegend relevanten Zeitraum vom 1. Ja- nuar 2009 bis zum 21. November 2011 aus neun Personen; der Beschuldigte war Präsident des Verwaltungsrates bzw. ab 11. Juni 2010 Delegierter (pag. 031 1 f.). Ausserdem war er „CEO“ der B. (pag. 010 7, 46). Er wurde in Geschäftsbe- richten der B. vorgestellt als Gründer oder Aufkäufer der Gesellschaften, die in der Holding-Struktur der B. fungieren (pag. 010 59, 46). Die Zahl der Mitarbeiter der B. wurde vom Beschuldigten im Fragebogen der FINMA mit „1“ angegeben (pag. 010 8). Der Beschuldigte verfügte nach eigenen Angaben gegenüber der FINMA über 90% der Aktien der B. (pag. 010 8). Am 22. Oktober 2013 eröffnete der Einzelrichter des Kantonsgerichts Zug über die B. den Konkurs (pag. 031 69). Das Konkursverfahren wurde mit Entscheid des Einzelrichters am Kantonsgericht vom 16. Oktober 2014 mangels Aktiven eingestellt (pag. 031 79). 2.2.2 Die C. ist eine Aktiengesellschaft mit früherem Sitz in Z. und (heutigem) Sitz in Y. Der Verwaltungsrat der C. umfasste im vorliegend relevanten Zeitraum vom</w:t>
      </w:r>
    </w:p>
    <w:p>
      <w:r>
        <w:t>- 7 - 1. Januar 2009 bis zum 21. November 2011 vier Personen. Der Beschuldigte war ab 12. September 2011 im Verwaltungsrat (pag. 031 3 f., 73 f.). 2.3 Verkauf von C. Aktien durch die B. 2.3.1 Die B. war früher wie erwähnt unter der Firma D. AG im Handelsregister einge- tragen und im Telekommunikationsbereich tätig. Der Beschuldigte war Präsident des Verwaltungsrates (pag. 031 1). Die Gesellschaft sah sich dabei dem Vorwurf ausgesetzt, mit dubiosen Methoden zu operieren (vgl. „saldo“ vom 21. März 2007, pag. 032 18 f.). Die E. kündigte im November 2008 den mit er B. beste- henden Reseller-Vertrag, was bei der B. zu einem starken Umsatzeinbruch führte. An der ausserordentlichen Generalversammlung vom 22. Dezember 2008 wurde deshalb beschlossen, die Gesellschaft in F. AG umzufirmieren (pag. 032</w:t>
      </w:r>
    </w:p>
    <w:p>
      <w:r>
        <w:rPr>
          <w:b/>
        </w:rPr>
        <w:t>E. 11</w:t>
      </w:r>
    </w:p>
    <w:p>
      <w:r>
        <w:t>N 54). Der objektive Tatbestand besteht bei Strafnormen im Finanzmarktbe- reich nur aus der grundsätzlich verbotenen, eine Bewilligung voraussetzenden Finanzmarkttätigkeit. Darauf muss sich das Wissen als Bestandteil des Vorsat- zes beziehen. Das Element der Bewilligungslosigkeit hingegen ist nicht Teil des objektiven Tatbestandes, sondern auf Ebene der Rechtswidrigkeit zu prüfen. Ob der Täter wusste, dass sein Tun unter Vorbehalt einer Bewilligungserteilung ver- boten war, ist auf der Ebene der Schuld unter dem Titel des Verbotsirrtums (Art. 21 StGB) zu prüfen (Urteil SK.2015.31 des Bundesstrafgerichts vom 3. Novem- ber 2015, E. 5.8.3.5/a). 4.9.2 Der Beschuldigte wusste, dass ab dem Jahr 2009 bis zum 8. November 2011 die Geschäftstätigkeit der B. im Verkauf von Aktien der C. bestand. Dem Beschul- digten war auch klar, dass der Verkauf dieser Aktien eine selbständige und un- abhängige wirtschaftliche Tätigkeit darstellte, die darauf ausgerichtet war, regel- mässige Erträge zu erzielen. Bekannt war ihm ferner, dass die C.-Aktien in gros- sem Umfang an Hunderte von Investoren ausgegeben wurden. Weiter hatte er auch Kenntnis über die formelle Unabhängigkeit zwischen B. und C. als separate juristische Personen. Ebenso war ihm bekannt, dass die B. für den Verkauf von C.-Aktien im Internet Werbung machte und mittels Einsatz von Agenten möglichst viele Abnehmer für die Aktien suchte. Dem Beschuldigten war auch klar, dass die C. die zu platzierenden Aktien schuf und die B. diese zunächst in ihr Eigentum übernahm mit dem Zweck, die Titel am Kapitalmarkt im Publikum unterzubringen. Weiter war dem Beschuldigten bekannt, dass die B. die Aktien der C. in eigenem Namen sowie auf eigene Rechnung und Gefahr verkaufte und die Aktien bis zur Platzierung im Publikum im eigenen Anlagebestand der B. verblieben. Ebenfalls kein Zweifel besteht am Wissen des Beschuldigten über die Sachverhaltsele- mente, welche die Verflechtung zwischen C. und B. belegen (vgl. im Einzelnen supra, E. 4.5.1).</w:t>
      </w:r>
    </w:p>
    <w:p>
      <w:r>
        <w:t>- 19 - Der Beschuldigte machte hierzu geltend, er habe zum Zeitpunkt der Titelkäufe durch die B. nicht beabsichtigt, diese Aktien zu veräussern (pag. 070 21). Vor dem Hintergrund der oben dargelegten Umstände der Umstellung der Geschäfts- tätigkeit der B. auf Verkäufe von C.-Aktien sowie mit Blick auf die zeitliche Ab- folge der Aufstockung des Aktienbestandes (Kapitalerhöhung mit Verrechnungs- liberierung) und der Verkäufe ins Publikum erscheint diese Behauptung nicht glaubwürdig. Es wird vielmehr als erwiesen erachtet, dass die Aufstockung des Bestandes von C.-Aktien bei der B. bereits im Hinblick auf die Platzierung dieser Aktien im Markt erfolgte. 4.9.3 Der Beschuldigte hatte somit Kenntnis sämtlicher Sachverhaltselemente, die den objektiven Tatbestand von Art. 44 FINMAG i.V.m. Art. 10 Abs. 1 und Art. 2 lit. d BEHG erfüllten. Die im vorstehenden Absatz erwähnten Vorgänge entsprachen dem Willen des Beschuldigten. Als CEO und Delegierter des Verwaltungsrats der B. hätte er es sonst jederzeit in der Hand gehabt, von der beschriebenen Ge- schäftstätigkeit abzusehen oder diese zu unterbinden. Im Ergebnis hat der Be- schuldigte den Tatbestand von Art. 44 FINMAG i.V.m. Art. 10 Abs. 1 BEHG vor- sätzlich erfüllt. 4.10</w:t>
      </w:r>
    </w:p>
    <w:p>
      <w:r>
        <w:t>4.10.1 Gemäss Art. 21 StGB handelt nicht schuldhaft, wer bei Begehung der Tat nicht weiss und nicht wissen kann, dass er sich rechtswidrig verhält. War der Irrtum vermeidbar, so mildert das Gericht die Strafe. Ein Verbotsirrtum ist dann gegeben, wenn dem Täter trotz Kenntnis des un- rechtsbegründenden Sachverhalts das Bewusstsein der Rechtswidrigkeit fehlt (STRATENWERTH, a.a.O., § 11 N 46 f.). Es ist allgemein bekannt, dass die Tätig- keit im Finanzmarktbereich einer engmaschigen Regulierung unterworfen ist. „Nach dem Denkmodell des Übernahmeverschuldens [...] ist vorwerfbar die Ig- noranz dessen, der sich in einem dicht durchnormten Bereich [...] bewegt, min- destens wenn er eine bewilligungspflichtige Tätigkeit ausführt“ (TRECHSEL/JEAN- RICHARD, Schweizerisches Strafgesetzbuch, Praxiskommentar, 2. Auflage, Zü- rich/St. Gallen 2013, Art. 21 N 7). Es kann deshalb nur in seltenen Ausnahmefäl- len davon ausgegangen werden, dass der Zuwiderhandelnde nicht wissen konnte, dass sein Verhalten nur mit Bewilligung erlaubt war. 4.10.2 Vorliegend ist erwiesen, dass der Beschuldigte ab Empfang des Schreibens der FINMA vom 10. März 2010, d.h. ab dem 11. März 2010, damit rechnen musste, dass die Tätigkeit der B. bewilligungspflichtig war (vgl. supra, E. 2.5.3 f.). Ein Ent- fallen der Schuld aufgrund eines unvermeidbaren Verbotsirrtums kommt in dieser Phase entsprechend von vornherein nicht in Frage.</w:t>
      </w:r>
    </w:p>
    <w:p>
      <w:r>
        <w:t>- 20 - 4.10.3 Für die Zeit vor dem 11. März 2010 wird „in dubio pro reo“ davon ausgegangen, dass sich der Beschuldigte der Rechtswidrigkeit des Geschäftsmodells der B. noch nicht bewusst war, d.h. er befand sich bis zu diesem Zeitpunkt in einem Verbotsirrtum. Dieser lässt die Schuld jedoch gemäss Art. 21 StGB nur entfallen, wenn er unvermeidbar war. Die Frage der Vermeidbarkeit des Verbotsirrtums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Die Überprüfung des eigenen Verhaltens auf seine Rechtmässigkeit ist insbesondere dann ver- langt, wenn der Täter weiss,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sie nicht zu erkennen (NIGGLI/MÄDER, in: Basler Kommentar Strafrecht I, 3. Auflage, Basel 2013, Art. 21 N 21; Urteil SK.2015.31 des Bun- desstrafgerichts vom 3. November 2015, E. 7.3). Es ist allgemein bekannt, dass der Finanz- und Börsenbereich stark reguliert ist. Dem Beschuldigten als erfahrenem Geschäftsmann musste bewusst gewesen sein, dass die Übernahme eines Grossteils der Aktien einer Emittentin und der gewerbsmässige Verkauf dieser Papiere ans Publikum rechtlichen Restriktionen unterliegen könnte. Juristischer Rat wäre zu solchen Fragen leicht einholbar ge- wesen. Rechtsanwalt PP. wurde erst Anfang März 2011 konsultiert; der für die neue Ge- schäftstätigkeit eingesetzte Aktienkaufvertrag wurde von diesem überarbeitet (pag. 081 3134). Weder behauptet noch erstellt ist, dass Rechtsanwalt PP. die Rechtmässigkeit der Geschäftstätigkeit in einem Gutachten umfassend beurteilt hätte und dass ihm seitens der B. sämtliche für die Beurteilung der Rechtmäs- sigkeit der Verkäufe relevanten Sachverhaltselemente offengelegt worden wa- ren. Diese Konsultation führte nicht zu einem unvermeidbaren Verbotsirrtum. Vo- raussetzung der Unvermeidbarkeit ist nach der Rechtsprechung einerseits, dass dem Rechtsberater der vollständige Sachverhalt zur Prüfung vorgelegt worden ist, den der Täter anschliessend verwirklicht. Andererseits muss der Rechtsbera- ter diesen Sachverhalt in einem Gutachten unter allen rechtlichen Gesichtspunk- ten geprüft haben (BGE 98 IV 293 E. 4a S. 303; Urteil SK.2015.23 des Bun- desstrafgerichts vom 24. September 2015, E. 4.7.3). Beides ist vorliegend weder</w:t>
      </w:r>
    </w:p>
    <w:p>
      <w:r>
        <w:t>- 21 - behauptet noch erstellt. Ausserdem befand sich der Beschuldigte im März 2011 nicht mehr in einem Verbotsirrtum (vgl. supra, E. 4.10.2). 4.10.4 Der Beschuldigte hätte vor Aufnahme der bewilligungspflichtigen Tätigkeit die Frage der Bewilligungspflicht unter Darlegung des vollständigen Sachverhalts bei der FINMA ohne weiteres abklären und so den bis 10. März 2010 bestehenden Verbotsirrtum vermeiden können und müssen. Die Schuld des Beschuldigten ist somit in Bezug auf die gesamte Tatzeit zu bejahen. 4.11 Im Ergebnis hat sich der Beschuldigte der Widerhandlung gegen Art. 44 Abs. 1 FINMAG in Verbindung mit Art. 10 Abs. 1 BEHG schuldig gemacht, begangen vom 12. August 2009 bis zum 21. November 2011. 5. Strafzumessung 5.1 Gemäss Art. 47 Abs. 1 StGB i.V.m. Art. 2 VStrR misst das Gericht die Strafe nach dem Verschulden des Täters zu. Es berücksichtigt das Vorleben und die persön- lichen Verhältnisse sowie die Wirkung der Strafe auf das Leben des Täters. Das Verschulden bestimmt sich gemäss Art. 47 Abs. 2 StGB nach der Schwere der Verletzung oder Gefährdung des betroffenen Rechtsguts, nach der Verwerflich- keit des Handelns, den Beweggründen und Zielen des Täters sowie danach, wie weit der Täter nach den inneren und äusseren Umständen in der Lage war, die Gefährdung oder Verletzung zu vermeiden (BGE 136 IV 55, E. 5.4). Im Rahmen der Strafzumessung gemäss Art. 47 StGB hat das Gericht zuerst die objektiven und subjektiven Tatumstände (Tatkomponenten) zu gewichten und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w:t>
      </w:r>
    </w:p>
    <w:p>
      <w:r>
        <w:t>- 22 - Die Strafdrohung von Art. 44 Abs. 1 FINMAG lautet auf Freiheitsstrafe bis zu drei Jahren oder Geldstrafe. Der Strafrahmen bewegt sich somit zwischen einem Mi- nimum von einem Tagessatz Geldstrafe und einem Maximum von drei Jahren Freiheitsstrafe. 5.2 Gemäss Strafregisterauszug wurde der Beschuldigte vom Ministero pubblico del cantone Ticino, Bellinzona, mit Entscheid vom 5. Juni 2015 wegen Vernachläs- sigung von Unterhaltspflichten (Art. 217 Abs. 1 StGB), begangen zwischen dem 1. April 2013 und dem 5. Juni 2015, zu einer bedingten Geldstrafe von 50 Ta- gessätzen à Fr. 100.-- sowie zu einer Busse von Fr. 800.-- verurteilt (TPF 8.221.94). Vorliegend wird – wie noch zu begründen sein wird (infra, E. 5.6) – eine Freiheits- strafe auszusprechen sein. Entsprechend ist eine eigenständige Strafe – und keine Zusatzstrafe i.S.v. Art. 49 Abs. 2 StGB i.V.m. Art. 9 VStrR – zu bilden (BGE 137 IV 57 E. 4.3, 4.3.2). 5.3 Tatkomponente: 5.3.1 Im Rahmen der objektiven Tatkomponente ist in Bezug auf das Ausmass des verschuldeten Erfolges festzuhalten, dass aus der unbewilligten Emissionstätig- keit der B. 2009 ein Gewinn von Fr. 379‘250.-- und 2010 ein Gewinn von Fr. 2‘795‘060.40 resultierte. 2011 stiegen die Verkaufszahlen von C.-Aktien noch einmal deutlich an und übertrafen im ersten Halbjahr bereits das gesamte Vor- jahr. Die Zahlungen stammten insgesamt von 348 natürlichen und juristischen Personen, die Kaufverträge abschlossen. Beabsichtigt war, von weiteren Perso- nen Aktien zu verkaufen. Die Geschäftstätigkeit wurde nur durch das Einschrei- ten der FINMA gestoppt. Die B. bediente sich mehrerer Agenten, um die C.-Aktien zu vertreiben. Den In- vestoren wurden Renditen garantiert. Gegenüber der FINMA wurden in der An- frage vom 2. März 2010 irreführende Angaben gemacht (vgl. supra, E. 2.5.1 f.). 5.3.2 Im Rahmen der subjektiven Tatkomponente ist festzuhalten, dass die Beweg- gründe des Beschuldigten finanzieller Art waren. Durch den Verkauf von C.-Ak- tien sollte der Umsatzeinbruch der ihm zu 90% gehörenden B. nach dem Wegfall des Telekom-Geschäfts kompensiert werden. Aus dem Unternehmenskonglo- merat des Beschuldigten flossen im Jahr 2011 Fr. 718‘268.75, im Jahr 2012 Fr. 94‘205.32, im Jahr 2013 Fr. 301‘500.-- und im Jahr 2014 rund Fr. 14‘000.-- auf dessen Privatkonten (vgl. Strafverfügung, Ziff. 104).</w:t>
      </w:r>
    </w:p>
    <w:p>
      <w:r>
        <w:t>- 23 - Spätestens seit den Hinweisen der FINMA in deren Schreiben vom 10. März 2010 musste der Beschuldigte sich bewusst sein, eine bewilligungspflichtige Emissionshaustätigkeit zu betreiben. Die Entscheidungsfreiheit des Beschuldig- ten war nicht beschränkt. Er hätte auf die illegale Tätigkeit jederzeit verzichten können, unter Inkaufnahme finanzieller Einbussen. 5.3.3 Das Tatverschulden des Beschuldigten ist insgesamt schwer. Als obligatorischer Strafmilderungsgrund (vgl. Art. 21 StGB und Urteil 6B_403/2013 des Bundesge- richts vom 27. Juni 2013, E. 1.1) ist jedoch noch zu berücksichtigen, dass der Beschuldigte ab Beginn des tatbestandsmässigen Verhaltens am 12. August 2009 bis zum Empfang des Schreibens der FINMA vom 10. März 2010, d.h. wäh- rend rund eines Viertels der Tatzeit, einem vermeidbaren Verbotsirrtum unterlag (supra, E. 4.10.3 f.). In Würdigung sämtlicher Tatkomponenten ist eine hypothe- tische Strafe von 330 Tagen Geldstrafe entsprechend 11 Monaten Freiheitsstrafe angemessen (vgl. Art. 34 Abs. 1 StGB). 5.4 Täterkomponente: 5.4.1 Der Beschuldigte wurde als Schweizer Bürger geboren. Er ist verheiratet, lebt aber getrennt von seiner Ehefrau. Nach der Primarschule absolvierte er eine Lehre als Spengler/Sanitär, bevor er sich im Informatik- bzw. Telekombereich selbstständig machte. Am 24. Februar 2013 unternahm der Beschuldigte einen Suizidversuch mit einer Schusswaffe. Anlass hiezu waren offenbar die Hinterzie- hungsvorwürfe bzw. die Bedrängnis durch Nachforderungen seitens der Steuer- behörden. Im Zeitpunkt der Hauptverhandlung war er zu 100% krankgeschrieben und befand sich in psychiatrischer Behandlung. Er lebt eigenen Angaben zufolge von der Sozialhilfe (zum Ganzen Einvernahmeprotokoll; pag. 034 002). 5.4.2 Auffallend ist, dass der Beschuldigte innert kurzer Zeit mehrfach seinen Wohnsitz bzw. Aufenthaltsort wechselte. Per 1. September 2013 meldete er sich in der Gemeinde W. nach V. ab. Dort hat der Beschuldigte indes nie Wohnsitz genom- men. Seine Adressangabe war gemäss Auskunft der Einwohnerdienste V. fiktiv (pag. 050 34). Auch in U., wo der Beschuldigte gemäss Änderung des Handels- registereintrages zur KK. Sagl (vgl. infra, E. 5.4.55.4.5) vom 22. August 2013 an- geblich Wohnsitz hatte, war der Beschuldigte bloss im Jahr 2006 vorübergehend gemeldet. Nach Eröffnung des Strafverfahrens war der Beschuldigte während rund zwei Jahren vorübergehend im Ausland (namentlich Marokko) unterge- taucht. Erst mit einem Rundschreiben vom 16. Mai 2015 wandte er sich unter Angabe einer Adresse in ZZ. an die Aktionäre der C.. Im Sommer 2015 meldete sich der Beschuldigte in der Gemeinde YY. im Kanton Bern an. Bereits Mitte Ok- tober 2015 meldete er sich dort wieder ab und ist seither in der Gemeinde XX.</w:t>
      </w:r>
    </w:p>
    <w:p>
      <w:r>
        <w:t>- 24 - im Kanton Zürich gemeldet, wo er gemäss eigenen Aussagen auch wohnhaft ist (pag. 034 004; Einvernahmeprotokoll). 5.4.3 Die Einkommens- und Vermögenssituation des Beschuldigten ist äusserst un- durchsichtig, insbesondere auch aufgrund mangelnder Kooperation mit den Steuerbehörden. Am 29. Juni 2012 wurde er von der Steuerverwaltung des Kan- tons Obwalden für das Steuerjahr 2010 nach Ermessen veranlagt (Total Ein- künfte Fr. 162‘200.--; Unterhaltsbeiträge an Ehegattin Fr. 60‘000.--; Reinvermö- gen Fr. 0), was der Beschuldigte akzeptierte (pag. 050 003 ff.). Auch für das Steuerjahr 2011 erfolgte Ende Januar 2013 eine Veranlagung nach Ermessen (Total Einkünfte Fr. 164‘200.--; Unterhaltsbeiträge an Ehegattin Fr. 60‘0000.--; Reinvermögen Fr. 0; pag. 050 37–39). Für die Steuerjahre 2012, 2013 und 2014 liegen keine Unterlagen vor bzw. es konnten keine Steuerunterlagen ediert wer- den. 5.4.4 Unklar bleibt, wo der Erlös der B. in Höhe von ca. 10 Millionen Franken aus dem Verkauf von C.-Aktien geblieben ist. Nach Angaben gegenüber der Kantonspoli- zei Obwalden vom 26. Februar 2013 war beim Beschuldigten zu diesem Zeit- punkt finanziell “Substanz vorhanden“. Mehrere Millionen Franken dieser Sub- stanz hat der Beschuldigte seiner Ehefrau LL. geschenkt (Strafverfügung, Ziff. 109 und 115). Die Schenkung erfolgte u.a. in Form angeblicher Forderungen ge- gen die C. aus einer 2013 eigenmächtig bezogenen Verwaltungsratsentschädi- gung. Die Forderungen von LL. gegen die C. werden von Letzterer bestritten. Seine eigene Beteiligung an der C. hat der Beschuldigte vorgeblich am 5. Juni 2014 an die marokkanische MM. SA abgetreten. Er selber unterzeichnete das Dokument auch als deren Vertreter (TPF 8.661.58). Die Sozialhilfebehörden ge- hen offenbar von der Bedürftigkeit des Beschuldigten aus. Nach eigenen Anga- ben hat der Beschuldigte Steuerschulden in Höhe von ca. 5 Millionen Franken (TPF 8.221.86). Es liegen diverse offene Verlustscheine aus Pfändungen vor (TPF 8.261.5). Im Weiteren kann auf die Strafverfügung (Ziff. 97 – 115) und die Auskunft der ESTV (TPF 8.661.1 f.) verwiesen werden. 5.4.5 Gemäss Handelsregister ist der Beschuldigte noch Präsident des Verwaltungs- rates der O. AG in Liquidation, Y. (pag. 031 83 f.), Gesellschafter und Geschäfts- führer der KK. Sagl, WW. (pag. 031 56 f.) und Inhaber der Einzelfirma NN., VV. (pag. 031 66). Gemäss dem Beschuldigten üben diese Gesellschaften indes keine Geschäftstätigkeit mehr aus (vgl. Einvernahmeprotokoll). 5.4.6 Der Beschuldigte ist vorbestraft. Die Tessiner Staatsanwaltschaft sprach ihn mit Strafmandat vom 5. Juni 2015 der Vernachlässigung von Unterhaltspflichten schuldig, begangen vom 1. April 2013 bis zum 5. Juni 2015, und verurteilte ihn</w:t>
      </w:r>
    </w:p>
    <w:p>
      <w:r>
        <w:t>- 25 - zu einer bedingt vollziehbaren Geldstrafe von 50 Tagessätzen à Fr. 100.--, bei einer Probezeit von drei Jahren und verbunden mit einer Busse von Fr. 800.--. Ferner enthält der Strafregisterauszug des Beschuldigten zwei Einträge betref- fend Strafuntersuchungen der Staatsanwaltschaft des Kantons Aargau wegen Verdachts auf Urkundenfälschung und Geldwäscherei. Die ESTV führt gegen den Beschuldigten ausserdem ein Verwaltungsstrafverfahren wegen Verdachts auf Hinterziehung von Verrechnungssteuern. Letztere Verfahren sind gestützt auf die Unschuldsvermutung für die hier vorzunehmende Strafzumessung nicht zu berücksichtigen. 5.4.7 Nach der Tat hat der Beschuldigte keine Reue erkennen lassen und anerkennt nach wie vor kein fehlbares Verhalten. Das rechtswidrige Geschäftsmodell hat er nach der Intervention der FINMA angepasst, so dass die FINMA danach keinen weiteren Anlass zum Einschreiten mehr sah (vgl. supra, E. 2.5.8). 5.4.8 Das Gesamtverschulden des Beschuldigten wiegt schwer. Die Täterkomponente gibt keinen Anlass zur Erhöhung oder Reduktion der Einsatzstrafe und es bleibt bei 330 Tagessätzen Geldstrafe bzw. bei 11 Monaten Freiheitsstrafe. 5.5 Der Beschuldigte wurde mit Schreiben vom 19. November 2012 über die Eröff- nung einer verwaltungsstrafrechtlichen Untersuchung informiert (pag. 020 001). Das Schlussprotokoll erging am 7. Januar 2013 und der Strafbescheid am 7. März 2013. Die Strafverfügung datiert vom 20. November 2015. Somit dauerte das Verwaltungsstrafverfahren inklusive gerichtliches Verfahren fast exakt drei Jahre. Unter dem Aspekt der Verfahrensdauer besteht indes noch kein Anlass für eine Strafreduktion (vgl. Urteil des Bundesstrafgerichts SK.2014.22 vom 9. Januar und 20. Mai 2015, E. 7.2.4 mit Hinweisen). Die Strafe ist zu mildern, wenn das Strafbedürfnis in Anbetracht der seit der Tat verstrichenen Zeit deutlich vermindert ist und der Täter sich in dieser Zeit wohl verhalten hat (Art. 48 lit. e StGB). Nach der Rechtsprechung ist dieser Milde- rungsgrund auf jeden Fall zu beachten, wenn 2/3 der Verjährungsfrist verstrichen sind (BGE 140 IV 145 E. 3.1; Urteil des Bundesgerichts 6B_664/2015 vom 18. September 2015, E. 1.1). Vorliegend trifft dies zwar teilweise zu, die ersten straf- baren Handlungen datieren vom 12. August 2009. Indessen hat sich der Beschul- digte unterdessen strafbar gemacht (vgl. Entscheid vom 5. Juni 2015 des Mi- nistero pubblico del cantone Ticino, TPF 8.221.94), weshalb nicht von einem Wohlverhalten ausgegangen werden kann. Somit ist auch unter diesem Ge- sichtspunkt keine Strafmilderung vorzunehmen.</w:t>
      </w:r>
    </w:p>
    <w:p>
      <w:r>
        <w:t>- 26 - 5.6 Es bleibt zu prüfen, ob die Strafe als Geld- oder als Freiheitsstrafe auszuspre- chen ist. Diese beiden Strafarten kommen im Bereich von sechs bis 12 Monaten nebeneinander in Betracht (Art. 34 Abs. 1 und Art. 40 S. 1 StGB). Bei der Wahl der Sanktionsart ist als wichtiges Kriterium die Zweckmässigkeit einer bestimm- ten Sanktion, ihre Auswirkungen auf den Täter und sein soziales Umfeld sowie ihre präventive Effizienz zu berücksichtigen (BGE 134 IV 82, E. 4.1 mit Hinwei- sen). Vorliegend erweist sich eine Freiheitsstrafe als die zweckmässigere Sanktion als eine Geldstrafe. Von ihr ist eine grössere spezialpräventive Effizienz zu erwarten, lässt doch das Verhalten des Beschuldigten vermuten, dass er eine Geldstrafe kaum bezahlen und somit im Resultat eine Freiheitsstrafe resultieren würde. 5.7 Das Gericht schiebt den Vollzug einer Freiheitsstrafe von mindestens sechs Mo- naten und höchstens zwei Jahren in der Regel auf, wenn eine unbedingte Strafe nicht notwendig erscheint, um den Täter von der Begehung weiterer Verbrechen oder Vergehen abzuhalten (Art. 42 Abs. 1 StGB). Der Aufschub ist nicht zulässig, wenn der Täter innerhalb der letzten fünf Jahre vor der Tat zu einer bedingten oder unbedingten Freiheitsstrafe von mindestens sechs Monaten oder zu einer Geldstrafe von mindestens 180 Tagessätzen verurteilt worden ist, sofern nicht besonders günstige Umstände vorliegen (Art. 42 Abs. 2 StGB). Das Gericht hat unter Würdigung aller wesentlichen Umstände, die gültige Schlüsse auf den Cha- rakter des Täters und die Aussichten seiner Bewährung zulassen, eine Prognose darüber zu stellen, ob der Verurteilte für dauerndes Wohlverhalten Gewähr bietet (BGE 128 IV 193 E. 3a). Für die Einschätzung des Rückfallrisikos ist das Ge- samtbild der Täterpersönlichkeit entscheidend, wobei allen zu berücksichtigen- den Umständen die gleiche Bedeutung beizumessen ist (BGE a.a.O.; 118 IV 97 E. 2b). Die objektiven Voraussetzungen zur Gewährung des bedingen Strafvollzuges sind bei der verhängten Freiheitsstrafe gegeben. Die Grenzen des bedingten Strafvollzugs (Art. 42 Abs. 1 StGB) sind nach dem Gesagten nicht überschritten. Die Verurteilung durch die Tessiner Behörden wegen Vernachlässigung von Un- terhaltspflichten betrifft nicht den Finanzbereich und kann deshalb nicht für die Begründung einer negativen Legalprognose herangezogen werden. Es sind keine ernsthaften Gründe ersichtlich, welche bezweifeln liessen, dass der Be- schuldigte sich künftig dauernd wohl verhalten werde. Hinweise auf eine allge- meine Neigung zu regelmässigem, verantwortungslosem Verhalten sind aus den Akten nicht ersichtlich. Die Taten lassen nicht per se auf einen Charaktermangel schliessen. Insgesamt bestehen keine Anzeichen für eine negative Bewährungs-</w:t>
      </w:r>
    </w:p>
    <w:p>
      <w:r>
        <w:t>- 27 - prognose. Im konkreten Fall liegen die Voraussetzungen für den bedingten Straf- vollzug somit vor. Indessen ist die Probezeit auf vier Jahre festzulegen (Art. 44 Abs. 1 StGB). 5.8 Nach Art. 42 Abs. 4 StGB kann eine bedingte Strafe mit einer unbedingten Geld- strafe oder mit einer Busse nach Art. 106 StGB verbunden werden. Die Verbin- dungsstrafe kann ohne weitere Voraussetzungen ausgesprochen werden; na- mentlich ist sie nicht an eine negative Legalprognose gebunden (Urteil des Bun- desgerichts 6B_412/2010 vom 19. August 2010, E. 2.3). Sie trägt u.a. dazu bei, das unter spezial- und generalpräventiven Gesichtspunkten eher geringe Droh- potential der bedingten Geldstrafe zu erhöhen. Dem Verurteilten soll ein Denk- zettel verpasst werden können, um ihm den Ernst der Lage vor Augen zu führen und zugleich zu demonstrieren, was bei Nichtbewährung droht (BGE 134 IV 60 E. 7.3.1). Die bedingt ausgesprochene Strafe und die Verbindungsstrafe müssen in ihrer Summe schuldangemessen sein (BGE 134 IV 60 E. 7.3.3). Gemäss Art. 106 Abs. 1 i.V.m. Art. 42 Abs. 4 StGB beträgt eine Verbindungsbusse im Allgemeinen maximal Fr. 10‘000.--. Gemäss Art. 2 VStrR gelten die allgemeinen Bestimmungen des Strafgesetzbuches für Taten, die in der Verwaltungsgesetz- gebung des Bundes mit Strafe bedroht sind, soweit das Verwaltungsstrafrecht oder das einzelne Verwaltungsgesetz nichts anderes bestimmt. Gemäss der auf den Beschuldigten anwendbaren Strafbestimmung von Art. 44 FINMAG beträgt die Busse bis zu Fr. 250‘000.--. Vorliegend wird eine Verbindungsbusse von Fr. 3‘000.-- festgesetzt. Damit die bedingt ausgesprochene Strafe und die Verbindungsstrafe in ihrer Summe schuldangemessen sind, wird die Freiheitsstrafe um einen Monat auf zehn Mo- nate reduziert. 6. Vollzug Die Kantone vollziehen die Freiheitsstrafen und die freiheitsentziehenden Mass- nahmen. Der Bund hat die Oberaufsicht über den Vollzug (Art. 90 Abs. 2 VStrR). Im Unterschied zum ordentlichen Strafverfahren, wo die Ersatzfreiheitsstrafe für den Fall schuldhaften Nichtbezahlens der Busse bereits im Sachurteil festgesetzt wird (Art. 106 Abs. 2 StGB), erfolgt im Verwaltungsstrafverfahren die Umwand- lung einer nicht einbringlichen Busse erst durch einen nachträglichen gerichtli- chen Entscheid auf Antrag der Verwaltung (Art. 91 VStrR).</w:t>
      </w:r>
    </w:p>
    <w:p>
      <w:r>
        <w:t>- 28 - 7. Urteilspublikation Ist im öffentlichen Interesse, im Interesse des Verletzten oder des Antragsbe- rechtigten die Veröffentlichung eines Strafurteils geboten, so ordnet sie das Ge- richt auf Kosten des Verurteilten an (Art. 68 Abs. 1 StGB i.V.m. Art. 2 VStrR). Die Urteilspublikation verfolgt zum einen general- und spezialpräventive Zwecke (ECHLE/WIPRÄCHTIGER, a.a.O., Art. 68 N 3, 9 m.w.H.). Zum anderen kann die Allgemeinheit ein Interesse daran haben, vor einem bestimmten Täter oder vor den Produkten zu warnen, die er in Verkehr bringt (STRATENWERTH/WOHLERS, Handkommentar Schweizerisches Strafgesetzbuch, 3. Auflage, Bern 2013, Art. 68 N 4). Im Finanzmarktstrafrecht besteht namentlich bei der unerlaubten Tätigkeit als Finanzintermediär gemäss Art. 44 FINMAG ein erhebliches Inte- resse von Markt und Anlegern, vor unrechtmässigen Produkten und Dienstleis- tungen gewarnt zu werden. Im vorliegenden Fall, in welchem mittels einer uner- laubten Emissionshaustätigkeit Aktien der C. für mehrere Millionen Franken an 348 Anleger verkauft worden sind (vgl. supra, E. 2.3.7), rechtfertigt sich zur War- nung des Publikums eine Veröffentlichung des Entscheids. Die Publikation recht- fertigt sich umso mehr, als die OO., mit welcher der Beschuldigte im Zusammen- hang steht, unterdessen im Handelsregister eingetragen ist und wie früher B. und C. Investoren für eine Immobiliengesellschaft sucht. Es ist an der urteilenden Behörde, Art und Umfang der Veröffentlichung zu be- stimmen (Art. 68 Abs. 4 StGB). In jedem Fall enthält die Veröffentlichung den Namen des Betroffenen (ECHLE/WIPRÄCHTIGER, a.a.O., Art. 68 N 17). Im vorlie- genden Fall reicht es zur Warnung des Publikums vor unerlaubten Ge- schäftspraktiken des Beschuldigten aus, das Urteilsdispositiv zu publizieren. Als Publikationsorgan wird das Bundesblatt bestimmt. 8. Verfahrenskosten 8.1 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20. November 2015 auf eine</w:t>
      </w:r>
    </w:p>
    <w:p>
      <w:r>
        <w:t>- 29 - Spruchgebühr von Fr. 7'000.-- festgelegt, zuzüglich einer Schreibgebühr von Fr. 300.--, ausmachend total Fr. 7'300.--. Diese Kosten sind nicht zu beanstan- den. 8.2 Die Kosten des gerichtlichen Verfahrens bestimmen sich, vorbehältlich der Best- immungen über den Rückzug des Gesuchs um gerichtliche Beurteilung (Art. 78 Abs. 4 VStrR), nach den Art. 417 - 428 StPO (Art. 97 Abs. 1 VStrR). Nach Art. 424 Abs. 1 StPO regeln Bund und Kantone die Berechnung der Verfahrenskosten und legen die Gebühren fest. 8.2.1 Für die Anklageerhebung beantragt das EFD zusätzlich zu den Kosten aus dem verwaltungsinternen Strafverfahren die Auflage an den Beschuldigten der Kosten der Anklageführung beim Gericht unter Einschluss der Reise-, Unterbringungs- und Verpflegungskosten für die Anklageführung durch das EFD. Nachdem die Verwaltung im gerichtlichen Verfahren ihre Parteistellung als Anklägerin mit der Bundesanwaltschaft teilt und entweder nebst oder anstelle jener handelt, recht- fertigt es sich, auf die Gebührenansätze gemäss Art. 6 Abs. 4 lit. c des Regle- ments des Bundesstrafgerichts vom 31. August 2010 über die Kosten, Gebühren und Entschädigungen in Bundesstrafverfahren (BStKR; SR173.713.162; Gebüh- renerhebung für das Vorverfahren im Falle einer Anklageerhebung) zurückzu- greifen. Der dort vorgegebene Rahmen liegt zwischen Fr. 1'000.-- und Fr. 100'000.-- für Vorverfahren inklusive Anklageerhebung. Die Spesen der An- klägerin sind in der Gebühr mitenthalten (Urteil des Bundesstrafgerichts SK.2015.23 vom 24. September 2015, E. 6.2.1). In Anbetracht des Gesagten, und weil die verwaltungsinterne Gebührenberechnung gemäss E. 8.1 hiervor in Analogie zur Gebührenerhebung durch die Bundesanwaltschaft im Falle eines Strafbefehls zu betrachten ist (Art. 6 Abs. 4 lit. a BStKR), wird die Gebühr für das Vorverfahren auf insgesamt Fr. 7'800.-- festgelegt. 8.2.2 Im Verfahren vor der Strafkammer des Bundesstrafgerichts (Einzelgericht) be- trägt die Gerichtsgebühr Fr. 200.-- bis Fr. 50'000.-- (Art. 7 lit. a BStKR). Aufgrund von Bedeutung und Schwierigkeit der Sache, der Vorgehensweise des Beschul- digten, ihrer finanziellen Situation und dem Kanzleiaufwand wird die Gerichtsge- bühr auf Fr. 2'000.-- (Kleinspesenpauschale inbegriffen) festgelegt. 8.3 Die Kosten für die amtliche Verteidigung des Beschuldigten im Gerichtsverfahren sind als Auslagen des Gerichts ebenfalls den Verfahrenskosten zuzurechnen (Art. 422 Abs. 2 lit. a StPO). 8.3.1 Die Entschädigung des amtlichen Verteidigers ist nach dem Anwaltstarif des Bundes (BStKR) festzusetzen (Art. 135 Abs. 1 StPO i.V.m. Art. 97 Abs. 1 VStrR).</w:t>
      </w:r>
    </w:p>
    <w:p>
      <w:r>
        <w:t>- 30 -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(Beschluss des Bundesstrafgerichts BK.2011.21 vom 24. April 2012, E. 2.1; Urteil des Bundesstrafgerichts SN.2011.16 vom 5. Oktober 2011, E. 4.1). 8.3.2 Der amtliche Verteidiger des Beschuldigten machte für die Zeit seit Einsetzung als amtlicher Verteidiger vom 8. April bis 17. Mai 2015 einen Arbeitsaufwand von 27.90 Stunden à Fr. 300.--, 5 Stunden Reisezeit à Fr. 200.-- und Auslagen in Höhe von Fr. 293.-- geltend (TPF 8.721.1 ff.). Der geltend gemachte Zeitaufwand und die Auslagen sind nicht zu beanstanden, indessen ist der Arbeitsaufwand zu einem Stundenansatz von Fr. 230.-- zu vergüten (Fall im ordentlichen Schwierig- keitsbereich, vgl. supra). Die Kosten für die notwendige, amtliche Verteidigung setzen sich somit wie folgt zusammen: 27.90 Stunden Arbeitsaufwand à Fr. 230.--, 5 Stunden Reisezeit à Fr. 200.-- und Auslagen in Höhe von Fr. 293.--. Inkl. MWST von 8% ergibt sich somit ein Total in Höhe von Fr. 8'326.80. 8.4 Die Verfahrenskosten belaufen sich nach dem Gesagten gesamthaft auf Fr. 18‘126.80 (Gebühr für das Vorverfahren: Fr. 7'800.--, Gebühr für das Ge- richtsverfahren: Fr. 2‘000.-- sowie Auslagen: Fr. 8'326.80). 8.5 Die beschuldigte Person trägt die Verfahrenskosten, wenn sie verurteilt wird (Art. 426 Abs. 1 Satz 1 StPO). Sie trägt die Verfahrenskosten nicht, die der Staat durch unnötige oder fehlerhafte Verfahrenshandlungen verursacht hat (Art. 426 Abs. 3 lit. a StPO). Die Kosten der Verwaltung können im Urteil gleich verlegt werden wie die Kosten des gerichtlichen Verfahrens (Art. 97 Abs. 2 VStrR). In concreto rechtfertigt es sich, die gesamten Kosten dem Beschuldigten aufzu- erlegen.</w:t>
      </w:r>
    </w:p>
    <w:p>
      <w:r>
        <w:t>- 31 -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