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SK.2015.6 vom 16. Juni 2015</w:t>
      </w:r>
    </w:p>
    <w:p>
      <w:r>
        <w:t>Bundesstrafgericht, 2015-06-16, DE</w:t>
      </w:r>
    </w:p>
    <w:p>
      <w:r>
        <w:rPr>
          <w:b/>
        </w:rPr>
        <w:t xml:space="preserve">Quelle: </w:t>
      </w:r>
      <w:r>
        <w:t>https://mcp.opencaselaw.ch/entscheid/bstger_SK.2015.6</w:t>
      </w:r>
    </w:p>
    <w:p>
      <w:r>
        <w:t>FR: TPF SK.2015.6 du 16 juin 2015</w:t>
      </w:r>
    </w:p>
    <w:p>
      <w:r>
        <w:t>IT: TPF SK.2015.6 del 16 giugno 2015</w:t>
      </w:r>
    </w:p>
    <w:p>
      <w:pPr>
        <w:pStyle w:val="Heading2"/>
      </w:pPr>
      <w:r>
        <w:t>Regeste</w:t>
      </w:r>
    </w:p>
    <w:p>
      <w:r>
        <w:t>Gefährdung durch Sprengstoffe und giftige Gase, Sachbeschädigung, unbefugter Besitz von und Handel mit Betäubungsmitteln, versuchter unbefugter Anbau von Betäubungsmitteln, unbefugter Anbau von Betäu-bungsmitteln, Besitz von Betäubungsmitteln zum eige-nen Konsum, Lenken eines Fahrzeugs in fahrunfähi-gem Zustand, Lenken eines Motorfahrzeugs ohne den erforderlichen Führerausweis, Überschreiten der sig-nalisierten Höchstgeschwindigkeit auf Autobahnen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amtlich verteidigt durch Rechtsanwalt Renzo Guzzi</w:t>
      </w:r>
    </w:p>
    <w:p>
      <w:r>
        <w:rPr>
          <w:b/>
        </w:rPr>
        <w:t>E. 1.1</w:t>
      </w:r>
    </w:p>
    <w:p>
      <w:r>
        <w:t>der Gefährdung durch Sprengstoffe und giftige Gase in verbrecherischer Absicht gemäss Art. 224 Abs. 1 StGB (Anklageziffer 1.1.2.1);</w:t>
      </w:r>
    </w:p>
    <w:p>
      <w:r>
        <w:rPr>
          <w:b/>
        </w:rPr>
        <w:t>E. 1.2</w:t>
      </w:r>
    </w:p>
    <w:p>
      <w:r>
        <w:t>der Sachbeschädigung gemäss Art. 144 Abs. 3 StGB (Anklageziffer 1.1.2.2). 2. B. wird verurteilt zu einer Freiheitsstrafe von 6 Monaten (Art. 47, 19 Abs. 2, 48a Abs. 1 StGB). Der Vollzug der Strafe wird mit einer Probezeit von 2 Jahren aufgeschoben. III. Zivilforderung Es wird Vormerk davon genommen, dass A. und B. anerkennen, der Privatklägerin Ge- meinde Z. in solidarischer Verbindung Schadenersatz von insgesamt Fr. 4'726.50 zuzüg- lich 5% Zins seit 14. Mai 2011 zu schulden. IV. Beschlagnahmte Gegenstände</w:t>
      </w:r>
    </w:p>
    <w:p>
      <w:r>
        <w:rPr>
          <w:b/>
        </w:rPr>
        <w:t>E. 2</w:t>
      </w:r>
    </w:p>
    <w:p>
      <w:r>
        <w:t>A. wird schuldig gesprochen:</w:t>
      </w:r>
    </w:p>
    <w:p>
      <w:r>
        <w:rPr>
          <w:b/>
        </w:rPr>
        <w:t>E. 2.1</w:t>
      </w:r>
    </w:p>
    <w:p>
      <w:r>
        <w:t>der Gefährdung durch Sprengstoffe und giftige Gase in verbrecherischer Absicht gemäss Art. 224 Abs. 1 StGB (Anklageziffer 1.1.1.1);</w:t>
      </w:r>
    </w:p>
    <w:p>
      <w:r>
        <w:rPr>
          <w:b/>
        </w:rPr>
        <w:t>E. 2.2</w:t>
      </w:r>
    </w:p>
    <w:p>
      <w:r>
        <w:t>der Sachbeschädigung gemäss Art. 144 Abs. 3 StGB (Anklagziffer 1.1.1.2);</w:t>
      </w:r>
    </w:p>
    <w:p>
      <w:r>
        <w:rPr>
          <w:b/>
        </w:rPr>
        <w:t>E. 2.3</w:t>
      </w:r>
    </w:p>
    <w:p>
      <w:r>
        <w:t>des mehrfachen Lenkens eines Fahrzeugs in fahrunfähigem Zustand gemäss Art. 31 Abs. 2 i.V.m. Art. 91 Abs. 2 SVG (Anklageziffer 1.2.1 und 1.2.2) sowie des Überschreitens der signalisierten Höchstgeschwindigkeit auf Autobahnen ge- mäss Art. 27 Abs. 1 SVG, Art. 90 Abs. 1 SVG, Art. 4a Abs. 1 und Abs. 5 VRV, Art. 22 Abs. 1 SSV und des Lenkens eines Motorfahrzeugs ohne den erforderli- chen Führerausweis gemäss Art. 10 Abs. 2 SVG und Art. 95 Abs. 1 Bst. a SVG (Anklageziffer 1.2.4);</w:t>
      </w:r>
    </w:p>
    <w:p>
      <w:r>
        <w:rPr>
          <w:b/>
        </w:rPr>
        <w:t>E. 2.4</w:t>
      </w:r>
    </w:p>
    <w:p>
      <w:r>
        <w:t>des mehrfachen unbefugten Besitzes von Betäubungsmitteln gemäss Art. 19 Ziff. 1 al. 5 altBetmG bzw. Art. 19 Abs. 1 Bst. d BetmG (Anklageziffern 1.3.1 und 1.3.2), des mehrfachen Handels mit Betäubungsmitteln gemäss Art. 19 Ziff. 1 al. 4 altBetmG bzw. Art. 19 Abs. 1 Bst. c BetmG (Anklageziffern 1.3.1 und 1.3.2), des versuchten unbefugten Anbaus von Betäubungsmitteln gemäss Art. 19 Abs. 1 Bst. a BetmG i.V.m. Art. 22 Abs. 1 StGB (Anklageziffer 1.3.3.), des unbefugten Anbaus von Betäubungsmitteln und des Besitzes von Betäubungs- mitteln zum eigenen Konsum gemäss Art. 19 Abs. 1 Bst. a und d BetmG i.V.m. Art. 19a Ziff. 1 BetmG (Anklagziffer 1.3.3).</w:t>
      </w:r>
    </w:p>
    <w:p>
      <w:r>
        <w:rPr>
          <w:b/>
        </w:rPr>
        <w:t>E. 3</w:t>
      </w:r>
    </w:p>
    <w:p>
      <w:r>
        <w:t>A. wird verurteilt zu einer Freiheitsstrafe von 21 Monaten, wobei die 2 Tage Poli- zeihaft angerechnet werden. Der Vollzug der Strafe wird mit einer Probezeit von 3 Jahren aufgeschoben. A. wird verurteilt zu einer Busse von Fr. 3'000.–.</w:t>
      </w:r>
    </w:p>
    <w:p>
      <w:r>
        <w:t>- 4 - Soweit A. die Busse schuldhaft nicht bezahlt, so tritt an deren Stelle eine Ersatz- freiheitsstrafe von 3 Monaten. Der Kanton Zürich wird als Vollzugskanton bestimmt. II. B. 1. B. wird schuldig gesprochen: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