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SK.2015.37 vom 24. August 2015</w:t>
      </w:r>
    </w:p>
    <w:p>
      <w:r>
        <w:t>Bundesstrafgericht, 2015-08-24, DE</w:t>
      </w:r>
    </w:p>
    <w:p>
      <w:r>
        <w:rPr>
          <w:b/>
        </w:rPr>
        <w:t xml:space="preserve">Quelle: </w:t>
      </w:r>
      <w:r>
        <w:t>https://mcp.opencaselaw.ch/entscheid/bstger_SK.2015.37</w:t>
      </w:r>
    </w:p>
    <w:p>
      <w:r>
        <w:t>FR: TPF SK.2015.37 du 24 août 2015</w:t>
      </w:r>
    </w:p>
    <w:p>
      <w:r>
        <w:t>IT: TPF SK.2015.37 del 24 agosto 2015</w:t>
      </w:r>
    </w:p>
    <w:p>
      <w:pPr>
        <w:pStyle w:val="Heading2"/>
      </w:pPr>
      <w:r>
        <w:t>Regeste</w:t>
      </w:r>
    </w:p>
    <w:p>
      <w:r>
        <w:t>Rückweisung der Anklage; Rückweisung an BA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Die Anklage ist daher an die Bundesanwaltschaft zurückzuweisen.</w:t>
      </w:r>
    </w:p>
    <w:p>
      <w:r>
        <w:rPr>
          <w:b/>
        </w:rPr>
        <w:t>E. 6</w:t>
      </w:r>
    </w:p>
    <w:p>
      <w:r>
        <w:t>Das Verfahren ist zu sistieren. Die Rechtshängigkeit wird wieder auf die Bundes- anwaltschaft übertragen. Damit wird der Antrag des Staatsanwalt des Bundes vom 14. August 2015 zur Einholung einer nachträglichen Zustimmung zur Straf- verfolgung bei den Behörden des Fürstentums Monaco obsolet (pag. TPF 391.510.0001 ff.) und die Bundesanwaltschaft wird diese Zustimmung selber einholen können.</w:t>
      </w:r>
    </w:p>
    <w:p>
      <w:r>
        <w:rPr>
          <w:b/>
        </w:rPr>
        <w:t>E. 7</w:t>
      </w:r>
    </w:p>
    <w:p>
      <w:r>
        <w:t>Die Sicherheitshaft bezüglich A. fällt ipso iure dahin, da die Voraussetzungen nach Art. 220 Abs. 2 StPO nicht mehr gegeben sind und das in Art. 220 Abs. 1 StPO umschriebene Verfahrensstadium wieder auflebt.</w:t>
      </w:r>
    </w:p>
    <w:p>
      <w:r>
        <w:rPr>
          <w:b/>
        </w:rPr>
        <w:t>E. 8</w:t>
      </w:r>
    </w:p>
    <w:p>
      <w:r>
        <w:t>Für diesen Entscheid sind keine Kosten zu erheben.</w:t>
      </w:r>
    </w:p>
    <w:p>
      <w:r>
        <w:t>- 5 - Die Strafkammer erkennt: 1. Die Anklage wird im Sinne der Erwägungen an die Bundesanwaltschaft zurück- gewiesen. 2. Das Verfahren wird sistiert. Die Rechtshängigkeit wird zurück an die Bundesan- waltschaft übertragen. 3. Es werden keine Kosten erhoben. 4. Dieser Beschluss wird den Parteien mitgeteilt.</w:t>
      </w:r>
    </w:p>
    <w:p>
      <w:r>
        <w:t>Im Namen der Strafkammer des Bundesstrafgerichts</w:t>
      </w:r>
    </w:p>
    <w:p>
      <w:r>
        <w:t>Die Vorsitzende Die Gerichtschreiberin</w:t>
      </w:r>
    </w:p>
    <w:p>
      <w:r>
        <w:t>- 6 - Geht an  (vorab per Fax) Bundesanwaltschaft, Herrn René Eichenberger, Staatsanwalt des Bundes (inkl. der Verfahrensakten)  Zwangsmassnahmengericht Zürich  Amt für Justizvollzug Kanton Zürich  Rechtsanwalt Daniel Walder, Verteidiger von A. (Beschuldigter)  Rechtsanwalt Adrian Ramsauer, Verteidiger von B. (Beschuldigter)  Rechtsanwalt Martin Burkhardt, Vertreter von C. Holding (Privatklägerin)  Rechtsanwalt Ernst Schmid, Vertreter von Bank D. (Privatklägerin)  Rechtsanwalt Martin Bernet, Vertreter von E. AG (Privatklägerin)</w:t>
      </w:r>
    </w:p>
    <w:p>
      <w:r>
        <w:t>Rechtsmittelbelehrung Beschwerde an die Beschwerdekammer des Bundesstrafgerichts Gegen Verfügungen und Beschlüsse sowie die Verfahrenshandlungen der Strafkammer des Bundesstrafge- richts als erstinstanzliches Gericht, ausgenommen verfahrensleitende Entscheide, kann innert 10 Tagen schriftlich und begründet Beschwerde bei der Beschwerdekammer des Bundesstrafgerichts geführt werden (Art. 393 Abs. 1 lit. b und Art. 396 Abs. 1 StPO; Art. 37 Abs. 1 StBOG). Gegen den Entschädigungsentscheid kann die amtliche Verteidigung innert 10 Tagen schriftlich und begrün- det Beschwerde bei der Beschwerdekammer des Bundesstrafgerichts führen (Art. 135 Abs. 3 lit. a und Art. 396 Abs. 1 StPO; Art. 37 Abs. 1 StBOG). Mit der Beschwerde können gerügt werden: a. Rechtsverletzungen, einschliesslich Überschreitung und Miss- brauch des Ermessens, Rechtsverweigerung und Rechtsverzögerung; b. die unvollständige oder unrichtige Feststellung des Sachverhalts; c. Unangemessenheit (Art. 393 Abs. 2 StPO).</w:t>
      </w:r>
    </w:p>
    <w:p>
      <w:r>
        <w:t>Versand: 24. August 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