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SK.2015.36 vom 1. Oktober 2015</w:t>
      </w:r>
    </w:p>
    <w:p>
      <w:r>
        <w:t>Bundesstrafgericht, 2015-10-01, DE</w:t>
      </w:r>
    </w:p>
    <w:p>
      <w:r>
        <w:rPr>
          <w:b/>
        </w:rPr>
        <w:t xml:space="preserve">Quelle: </w:t>
      </w:r>
      <w:r>
        <w:t>https://mcp.opencaselaw.ch/entscheid/bstger_SK.2015.36</w:t>
      </w:r>
    </w:p>
    <w:p>
      <w:r>
        <w:t>FR: TPF SK.2015.36 du 1 octobre 2015</w:t>
      </w:r>
    </w:p>
    <w:p>
      <w:r>
        <w:t>IT: TPF SK.2015.36 del 1 ottobre 2015</w:t>
      </w:r>
    </w:p>
    <w:p>
      <w:pPr>
        <w:pStyle w:val="Heading2"/>
      </w:pPr>
      <w:r>
        <w:t>Regeste</w:t>
      </w:r>
    </w:p>
    <w:p>
      <w:r>
        <w:t>Gesuch um Umwandlung einer verwaltungsstrafrechtlichen Busse in eine Ersatzfreiheitsstrafe (Art. 10 Abs. 1 VStrR i.V.m. Art. 36 Abs. 1 StGB)</w:t>
      </w:r>
    </w:p>
    <w:p>
      <w:pPr>
        <w:pStyle w:val="Heading2"/>
      </w:pPr>
      <w:r>
        <w:t>Erwägungen</w:t>
      </w:r>
    </w:p>
    <w:p>
      <w:r>
        <w:rPr>
          <w:b/>
        </w:rPr>
        <w:t>E. 1</w:t>
      </w:r>
    </w:p>
    <w:p>
      <w:r>
        <w:t>Prozessuales</w:t>
      </w:r>
    </w:p>
    <w:p>
      <w:r>
        <w:rPr>
          <w:b/>
        </w:rPr>
        <w:t>E. 1.1</w:t>
      </w:r>
    </w:p>
    <w:p>
      <w:r>
        <w:t>Gemäss Art. 50 Abs. 1 Satz 2 FINMAG ist das EFD verfolgende und urteilende Behörde bei Widerhandlungen gegen die Finanzmarktgesetze, zu welchen auch das Bankengesetz vom 8. November 1934 (BankG) gehört (Art. 1 FINMAG). Das EFD hat den Strafbescheid wegen Widerhandlung gegen das BankG erlassen, womit Gegenstand dieses Strafbescheids also Widerhandlungen gegen eine Strafbestimmung eines Finanzmarktgesetzes bilden. Hält das EFD die Vorausset- zungen für eine Freiheitsstrafe oder eine freiheitsentziehende Massnahme für ge- geben, so untersteht die strafbare Handlung der Bundesgerichtsbarkeit. In diesem Fall überweist das EFD die Akten der Bundesanwaltschaft zuhanden des Bun- desstrafgerichts (Art. 50 Abs. 2 FINMAG). Das Bundesstrafgericht ist daher sach- lich zuständig.</w:t>
      </w:r>
    </w:p>
    <w:p>
      <w:r>
        <w:rPr>
          <w:b/>
        </w:rPr>
        <w:t>E. 1.2</w:t>
      </w:r>
    </w:p>
    <w:p>
      <w:r>
        <w:t>Gemäss Art. 50 Abs. 1 Satz 1 FINMAG ist für Widerhandlungen gegen die Be- stimmungen dieses Gesetzes oder der Finanzmarktgesetze das Bundesgesetz vom 22. März 1974 über das Verwaltungsstrafrecht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w:t>
      </w:r>
    </w:p>
    <w:p>
      <w:r>
        <w:rPr>
          <w:b/>
        </w:rPr>
        <w:t>E. 1.3</w:t>
      </w:r>
    </w:p>
    <w:p>
      <w:r>
        <w:t>Bei der Anordnung einer Ersatzfreiheitsstrafe handelt es sich um einen selbststän-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w:t>
      </w:r>
    </w:p>
    <w:p>
      <w:r>
        <w:t>- 5 -</w:t>
      </w:r>
    </w:p>
    <w:p>
      <w:r>
        <w:rPr>
          <w:b/>
        </w:rPr>
        <w:t>E. 1.4</w:t>
      </w:r>
    </w:p>
    <w:p>
      <w:r>
        <w:t>Umstritten ist bei selbstständigen nachträglichen richterlichen Entscheiden die Rechtsform des Entscheids (HEER, Basler Kommentar, Schweizerische Strafpro- zessordnung, 2. Aufl., Basel 2014, Art. 365 StPO N. 4). Es stellt sich die Frage, ob ein Urteil in der Sache i.S.v. Art. 80 StPO ergeht oder ob der Entscheid nach Art. 365 StPO als Beschluss bzw. als Verfügung, mithin als Entscheid i.S.v. Art. 81 StPO, zu qualifizieren ist (HEER, a.a.O.). a) Vor dem Inkrafttreten des Bundesgesetzes über das Bundesgericht vom 17. Juni 2005 (Bundesgerichtsgesetz, BGG; SR 173.110) hat das Bundesgericht das Verfahren zur Umwandlung einer nicht bezahlten Busse in Haft in ständiger Praxis nicht als Vollzugsverfahren, und den Entscheid darüber nicht als Vollzugs- entscheid, sondern als ein den Bussenentscheid ergänzenden Sachentscheid be- 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b) Ein Urteil kann nicht deswegen zu einem blossen Beschluss oder gar zu einer Verfügung mutieren, weil es nachträglich ergeht (SCHNELL, Entscheide nach Art. 365 StPO – berufungsfähig oder nur der Beschwerde zugänglich?, forumpo- enale, 2/2011, S. 111 f., S. 112). Ein Teil der Lehre vertritt die Ansicht, dass mit der nachträglichen Modifikation eines rechtskräftigen Urteils eine neue materiell- rechtliche Entscheidung getroffen wird, wenn die ursprüngliche Festsetzung der Sanktion geändert wird (HEER, a.a.O., Art. 365 StPO N. 4). Selbstständige nach- trägliche Entscheide sind demnach Sachentscheide und haben in Form eines Ur- teils zu erfolgen, wenn eine Frage des materiellen Strafrechts beurteilt wird (HEER, a.a.O., Art. 365 StPO N. 4).</w:t>
      </w:r>
    </w:p>
    <w:p>
      <w:r>
        <w:t>Aus diesen Gründen ergeht der vorliegende Entscheid in Form eines Urteils, da insbesondere bezüglich des bedingten Vollzugs – es geht um die Prüfung der ak- tuellen Verhältnisse und damit um eine wesentliche Aufgabe bei der Strafzumes- sung (GETH, Rechtsmittel gegen selbstständige nachträgliche Entscheidungen des Gerichts nach Art. 363 ff. StPO, in AJP 3/2011, S. 313 ff., S. 317) – neue materielle Sachverhaltselemente zu beurteilen sind, und es insofern nicht um den blossen</w:t>
      </w:r>
    </w:p>
    <w:p>
      <w:r>
        <w:t>- 6 - Vollzug eines Urteils geht, welches alle wesentlichen Fragen abschliessend gere- gelt hat. Gegen den Entscheid ist aus diesem Grunde auch die Beschwerde in Strafsachen gemäss Art. 78 bzw. 80 Abs. 1 BGG gegeben.</w:t>
      </w:r>
    </w:p>
    <w:p>
      <w:r>
        <w:rPr>
          <w:b/>
        </w:rPr>
        <w:t>E. 2</w:t>
      </w:r>
    </w:p>
    <w:p>
      <w:r>
        <w:t>Umwandlung</w:t>
      </w:r>
    </w:p>
    <w:p>
      <w:r>
        <w:rPr>
          <w:b/>
        </w:rPr>
        <w:t>E. 2.1</w:t>
      </w:r>
    </w:p>
    <w:p>
      <w:r>
        <w:t>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 b) Kann eine Busse nicht eingebracht werden, so wird diese in Haft (bzw. Frei- heitsstrafe) umgewandelt, wobei vorliegendenfalls Fr. 50.– einem Tag Umwand- lungsstrafe gleichzusetzen sind. Die Umwandlungsstrafe darf die Dauer von drei Monaten nicht übersteigen. Für die Umwandlungsstrafe kann der bedingte Straf- vollzug gemäss Art. 41 (heute Art. 42) StGB gewährt oder die Umwandlung aus- geschlossen werden, wenn der Verurteilte nachweist, dass er schuldlos ausser- stande ist, die Busse zu bezahlen (Art. 10 Abs. 1–3 VStrR).</w:t>
      </w:r>
    </w:p>
    <w:p>
      <w:r>
        <w:rPr>
          <w:b/>
        </w:rPr>
        <w:t>E. 2.2</w:t>
      </w:r>
    </w:p>
    <w:p>
      <w:r>
        <w:t>Der Gesuchsgegner hat die Busse von Fr. 4'500.– trotz mehrmaliger Aufforderung nicht bezahlt. Vorliegend konnte von einer Betreibung abgesehen werden, da sich eine solche aufgrund der offenen Verlustscheine von knapp Fr. 55'000.– offenkun- dig als aussichtslos erwies. Der Gesuchsgegner liess sich trotz schriftlicher Auf- forderung nicht zum Umwandlungsgesuch des EFD vernehmen. Er erbrachte ins- besondere keinen Nachweis darüber, dass er schuldlos ausserstande sei, die Busse zu bezahlen. Es ist damit nicht ausgeschlossen, dass der Gesuchsgegner über die erforderlichen finanziellen Mittel zur Bezahlung der Busse verfügt, zumal er gemäss Massnahmegutachten der Universität Zürich, Institut für Rechtsmedi- zin, vom 25. Januar 2013, eine Lehre als Koch begann und "jeweils gute Noten gehabt habe" (pag. EFD 442.1-054.020.0046, …-0048). Die Voraussetzungen der Art. 91 Abs. 1 bzw. Art. 10 Abs. 1 und 2 VStrR zur Umwandlung der Busse in eine Ersatzfreiheitsstrafe (Uneinbringlichkeit der Busse – mangelnder Nachweis der schuldlosen Zahlungsunfähigkeit) sind somit gegeben. Nachdem der gesamte Bussenbetrag von Fr. 4'500.– ausstehend ist, ist bei einem Tagessatz von Fr. 50.– die Umwandlungsstrafe auf 90 Tage Freiheitsstrafe festzusetzen.</w:t>
      </w:r>
    </w:p>
    <w:p>
      <w:r>
        <w:t>- 7 -</w:t>
      </w:r>
    </w:p>
    <w:p>
      <w:r>
        <w:rPr>
          <w:b/>
        </w:rPr>
        <w:t>E. 3</w:t>
      </w:r>
    </w:p>
    <w:p>
      <w:r>
        <w:t>Vollzug</w:t>
      </w:r>
    </w:p>
    <w:p>
      <w:r>
        <w:rPr>
          <w:b/>
        </w:rPr>
        <w:t>E. 3.1</w:t>
      </w:r>
    </w:p>
    <w:p>
      <w:r>
        <w:t>Gemäss Art. 10 Abs. 2 VStrR sind die Bestimmungen über den bedingten Straf- vollzug gemäss Art. 41 aStGB (neu: Art. 42 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Wider- 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 tung, dass er sich nicht bewähren werde. Der Strafaufschub ist deshalb im Nor- malfall die Regel, von der grundsätzlich nur bei ungünstiger Prognose abgewichen werden darf; er hat im breiten Mittelfeld der Ungewissheit den Vorrang (Botschaft zur Änderung des Schweizerischen Strafgesetzbuches und des Militärstrafgeset- 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 sachen, die gültige Schlüsse auf den Charakter des Täters und die Aussichten seiner Bewährung zulassen (BGE 134 IV 1 E. 4.2.1). Bei der Prüfung der Voraussetzungen des bedingten Strafvollzugs im Rahmen von Art. 10 Abs. 2 VStrR ist aber folgende Besonderheit zu beachten: Für die Gewäh- rung des bedingten Strafvollzugs verweist Art. 10 Abs. 2 VStrR noch auf den in- zwischen revidierten Art. 41 aStGB, der generelle Voraussetzungen normierte, un- ter denen ein bedingter Strafvollzug gewährt werden konnte. Das StGB sah früher in Art. 49 Ziff. 3 Abs. 3 aStGB auch die Möglichkeit des bedingten Vollzugs der Umwandlungsstrafe vor. Mit Inkrafttreten des revidierten Allgemeinen Teils des StGB haben sich allerdings die Voraussetzungen zur Gewährung eines bedingten Strafvollzugs geändert und sind neu in Art. 42 StGB zu finden, weshalb das Ver- hältnis zwischen den beiden Bestimmungen (Art. 10 Abs. 2 VStrR und Art. 42 StGB) als ungeklärt gelten muss. Da das neue Sanktionensystem des StGB den bedingten Vollzug einer Ersatzfreiheitsstrafe nicht mehr ausdrücklich erwähnt, darf darauf geschlossen werden, dass der Gesetzgeber einen solchen bedingten Voll- zug auch nicht mehr wollte. Dies spricht dafür, dass der bedingte Strafvollzug einer</w:t>
      </w:r>
    </w:p>
    <w:p>
      <w:r>
        <w:t>- 8 - Ersatzfreiheitsstrafe auch im Verwaltungsstrafrecht nicht mehr gewährt werden sollte (zum Ganzen: EICKER/FRANK/ACHERMANN, Verwaltungsstrafrecht und Ver- 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differenziert angebotenen Lösungsvarianten am Ende für den Verurteilten die Möglichkeit bestünde, überhaupt keine Leistung zu erbringen (TRECHSEL/KELLER, in: Trechsel/Pieth [H rsg.], Schweizerisches Straf- gesetzbuch, Praxiskommentar, 2. Aufl., Zürich/St. Gallen 2013, Art. 36 StGB N. 11).</w:t>
      </w:r>
    </w:p>
    <w:p>
      <w:r>
        <w:rPr>
          <w:b/>
        </w:rPr>
        <w:t>E. 3.2</w:t>
      </w:r>
    </w:p>
    <w:p>
      <w:r>
        <w:t>Trotz dieser – zutreffenden – Lehrmeinung (E. 3.1) ist der Richter an das Legali- tätsprinzip gebunden, und die Voraussetzungen des bedingten Strafvollzugs sind im Rahmen von Art. 10 Abs. 2 VStrR vorliegend zu prüfen. Der Gesuchsgegner hat die Widerhandlung gegen das BankG, für welche er verurteilt wurde, vorsätz- lich begangen, es bestehen andererseits aber keine Anhaltspunkte dafür, dass er innerhalb der Frist von 5 Jahren gemäss Art. 10 Abs. 2 VStrR bereits einmal wegen einer Widerhandlung gegen das BankG bestraft worden wäre. Die Gewährung des bedingten Strafvollzuges ist somit gemäss Art. 10 Abs. 2 VStrR nicht von vornhe- rein ausgeschlossen.</w:t>
      </w:r>
    </w:p>
    <w:p>
      <w:r>
        <w:t>Es ergeben sich jedoch Umstände, welche bezweifeln lassen, dass dieser sich zukünftig dauernd wohl verhalten wird. In Bezug auf seine Bewährungsaussichten fällt negativ auf, dass A. aufgrund seiner mehrjährigen Drogensucht mehrfach vor- bestraft ist. So wurde er mit Urteil der Staatsanwaltschaft Winterthur/Unterland vom 6. Januar 2009 wegen mehrfacher Vergehen gegen das Bundesgesetz über die Betäubungsmittel und die psychotropen Stoffe vom 3. Oktober 1951 (Betäu- bungsmittelgesetz, BetmG; SR 812.121) sowie wegen mehrfacher Übertretung ge- gen das BetmG zu einer Geldstrafe von 90 Tagessätzen zu Fr. 30.–, bedingt voll- ziehbar mit einer Probezeit von 2 Jahren, sowie einer Busse von Fr. 500.–, mit Urteil des der Staatsanwaltschaft Winterthur/Unterland vom 29. Mai 2009 wegen mehrfacher Vergehen gegen das BetmG sowie mehrfacher Übertretung gegen das BetmG zu einer Geldstrafe von 90 Tagessätzen zu Fr. 50.– sowie einer Busse von Fr. 500.– (Teilzusatzstrafe zum Urteil der Staatsanwaltschaft Winterthur/Unterland vom 6.Januar 2009), mit Urteil der Staatsanwaltschaft Winterthur/Unterland vom 10. Januar 2011 wegen mehrfacher Vergehen gegen das BetmG sowie mehrfa- cher Übertretung gegen das BetmG zu gemeinnütziger Arbeit von 360 Stunden sowie einer Busse von Fr. 500.– und mit Urteil des Bezirksgerichts Winterthur vom 17. April 2013 wegen Verbrechen nach Art. 19 Abs. 2 Bst. b des BetmG (Banden- begehung) sowie wegen Übertretung gegen das BetmG, unter Aufschub des Voll- zugs, zu einer ambulanten Behandlung nach Art. 63 StGB, verurteilt. Immerhin ist</w:t>
      </w:r>
    </w:p>
    <w:p>
      <w:r>
        <w:t>- 9 - A. zugutezuhalten, dass er laut Massnahmegutachten der Universität Zürich, Insti- tut für Rechtsmedizin, vom 25. Januar 2013, keine Drogen mehr konsumiere (pag. EFD 442.1-054.020.0068) und sich einer ambulanten Behandlung unterzieht (pag. 1.220.004). Laut Massnahmegutachten gab aber A. zu Protokoll, dass er "seine Rechte auch mit Gewalt" verteidige. Einsicht und Reue sind für A. offensichtlich fremd. Gemäss Gutachten reagiere A. "auf Frustrationen und Ungerechtigkeiten im Alltag eher impulsiv und aufbrausend" (pag. EFD 442.1-054.020.0062). Schliesslich zeigt die Tatsache, dass sich der Gesuchsgegner beharrlich weigert, die ihm rechtskräftig auferlegte Busse zumindest auch nur ansatzweise in Raten- zahlungen zu bezahlen, ganz anschaulich, dass er sich von dieser wenig beein- drucken lässt. Er ist sich offensichtlich der Ernsthaftigkeit der Situation nicht be- wusst. Es kann deshalb nicht davon ausgegangen werden, dass eine bedingt aus- gesprochene Ersatzfreiheitsstrafe beim Gesuchsgegner irgendwelchen Eindruck hinterliesse; vielmehr würde er sich damit in seiner Ausweichtaktik bestätigt fühlen. In diesem Sinne würde eine solche bedingte Ersatzfreiheitsstrafe den Gesuchs- gegner auch nicht von der Begehung weiterer Delikte abhalten. Schliesslich wirkte er während des ganzen gerichtlichen Verfahrens trotz Kenntnis des gegen ihn lau- fenden Umwandlungsverfahrens in keinerlei Weise mit. Gesamthaft lässt das vom Gesuchsgegner gezeigte Verhalten eine günstige Prognose nicht zu bzw. ist die Befürchtung angebracht, dass er sich nicht bewähren wird. Die Ersatzfreiheits- strafe von 90 Tagen ist somit zu vollziehen. Der Vollzug ist dem Kanton Zürich zu übertragen, wo der Gesuchsgegner seinen letzten Wohnsitz hatte. Schliesslich ist dieser darauf hinzuweisen, dass mit der vollständigen Bezahlung der Busse vor Strafantritt der Vollzug vermieden werden kann (Art. 10 Abs. 4 VStrR).</w:t>
      </w:r>
    </w:p>
    <w:p>
      <w:r>
        <w:rPr>
          <w:b/>
        </w:rPr>
        <w:t>E. 4</w:t>
      </w:r>
    </w:p>
    <w:p>
      <w:r>
        <w:t>Verfahrenskosten Gemäss Art. 97 Abs. 1 VStrR bestimmen sich die Kosten des gerichtlichen Ver- fahrens und deren Verlegung, vorbehältlich Art. 78 Abs. 4, nach den Artikeln 417 – 428 StPO. Bei diesem Ausgang des Verfahrens hat A. als unterlegene Partei die Gerichtskosten zu tragen. Die Gerichtsgebühr ist auf Fr. 1'500.– festzusetzen (Art. 73 StBOG i.V.m. Art. 5 und 7 Abs. 1 lit. a des Reglements des Bundesstraf- gerichts vom 31. August 2010 über die Kosten, Gebühren und Entschädigungen in Bundesstrafverfahren [BStKR, SR 173.713.162]).</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