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SK.2015.3 vom 8. November 2016</w:t>
      </w:r>
    </w:p>
    <w:p>
      <w:r>
        <w:t>Bundesstrafgericht, 2016-11-08, FR</w:t>
      </w:r>
    </w:p>
    <w:p>
      <w:r>
        <w:rPr>
          <w:b/>
        </w:rPr>
        <w:t xml:space="preserve">Quelle: </w:t>
      </w:r>
      <w:r>
        <w:t>https://mcp.opencaselaw.ch/entscheid/bstger_SK.2015.3</w:t>
      </w:r>
    </w:p>
    <w:p>
      <w:r>
        <w:t>FR: TPF SK.2015.3 du 8 novembre 2016</w:t>
      </w:r>
    </w:p>
    <w:p>
      <w:r>
        <w:t>IT: TPF SK.2015.3 del 8 novembre 2016</w:t>
      </w:r>
    </w:p>
    <w:p>
      <w:pPr>
        <w:pStyle w:val="Heading2"/>
      </w:pPr>
      <w:r>
        <w:t>Regeste</w:t>
      </w:r>
    </w:p>
    <w:p>
      <w:r>
        <w:t>Falsification des timbres officiels de valeur (art. 245 CP)</w:t>
      </w:r>
    </w:p>
    <w:p>
      <w:pPr>
        <w:pStyle w:val="Heading2"/>
      </w:pPr>
      <w:r>
        <w:t>Erwägungen</w:t>
      </w:r>
    </w:p>
    <w:p>
      <w:r>
        <w:rPr>
          <w:b/>
        </w:rPr>
        <w:t>E. 1</w:t>
      </w:r>
    </w:p>
    <w:p>
      <w:r>
        <w:t>Compétence de la Cour</w:t>
      </w:r>
    </w:p>
    <w:p>
      <w:r>
        <w:rPr>
          <w:b/>
        </w:rPr>
        <w:t>E. 1.1</w:t>
      </w:r>
    </w:p>
    <w:p>
      <w:r>
        <w:t>La Cour examine d’office si sa compétence à raison de la matière est donnée au regard de l’art. 35 al. 1 de la loi fédérale sur l’organisation des autorités pénales de la Confédération (LOAP; RS 173.71) et des art. 23 et 24 CPP. A teneur de l'art. 23 al. 1 let. e CPP, sont soumis à la juridiction fédérale les crimes et délits visés au Titre 10 du Code pénal et concernant les monnaies, le papier-monnaie ou les billets de banque, ainsi que les timbres officiels de valeur ou les autres marques officielles de la Confédération et les poids et mesures. Selon cette disposition, la poursuite et le jugement de la falsification des timbres officiels de valeur (art. 245 CP) relèvent des autorités fédérales, en tant que ces timbres officiels de valeur sont ceux de la Confédération (BERNARD BERTOSSA, in Commentaire romand, Code de procédure pénale suisse, Bâle 2011, n° 15 ad art. 23 CPP; DANIEL KIPFER/GIUSEP NAY/MARC THOMMEN, in Basler Kommentar, Schweizerische Strafprozessordnung, 2e éd., Bâle 2014, n° 10 ad art. 23 CPP).</w:t>
      </w:r>
    </w:p>
    <w:p>
      <w:r>
        <w:rPr>
          <w:b/>
        </w:rPr>
        <w:t>E. 1.2</w:t>
      </w:r>
    </w:p>
    <w:p>
      <w:r>
        <w:t>En l'occurrence, l'infraction de falsification des timbres officiels de valeur au sens de l'art. 245 CP reprochée à A. a pour objet une vignette autoroutière. Celle-ci constitue la preuve du paiement de la redevance annuelle pour l'utilisation des routes nationales prélevée par la Confédération (art. 86 al. 2 Cst.; art. 2 et 7 al. 1 de la loi fédérale concernant la redevance pour l'utilisation des routes nationales [LVA; RS 741.71]). La vignette autoroutière constituant un timbre officiel de valeur de la Confédération (sur la notion de timbres officiels de valeur, v. consid. 3.1.1 ci-après), l'infraction reprochée à A. entre dans le champ d'application de l'art. 23</w:t>
      </w:r>
    </w:p>
    <w:p>
      <w:r>
        <w:t>- 6 - al. 1 let. e CPP. Les conditions de lieu au sens des art. 3 et 8 CP sont également données, vu que l'infraction aurait été commise en Suisse. Partant, la compétence de la Cour est donnée.</w:t>
      </w:r>
    </w:p>
    <w:p>
      <w:r>
        <w:rPr>
          <w:b/>
        </w:rPr>
        <w:t>E. 2</w:t>
      </w:r>
    </w:p>
    <w:p>
      <w:r>
        <w:t>Falsification des timbres officiels de valeur (art. 245 CP)</w:t>
      </w:r>
    </w:p>
    <w:p>
      <w:r>
        <w:rPr>
          <w:b/>
        </w:rPr>
        <w:t>E. 2.1</w:t>
      </w:r>
    </w:p>
    <w:p>
      <w:r>
        <w:t>Selon l'art. 245 CP, celui qui, dans le dessein de les employer comme authentiques ou intacts, aura contrefait ou falsifié des timbres officiels de valeur, notamment des timbres-poste, des estampilles ou des timbres-quittances, celui qui aura donné à des timbres officiels de valeur oblitérés l'apparence de timbres encore valables, pour les employer comme tels, sera puni d'une peine privative de liberté de trois ans au plus ou d'une peine pécuniaire (ch. 1). Celui qui aura employé comme authentiques, intacts ou encore valables des timbres officiels de valeur faux, falsifiés ou oblitérés, sera puni d'une peine privative de liberté de trois ans au plus ou d'une peine pécuniaire (ch. 2).</w:t>
      </w:r>
    </w:p>
    <w:p>
      <w:r>
        <w:rPr>
          <w:b/>
        </w:rPr>
        <w:t>E. 2.1.1</w:t>
      </w:r>
    </w:p>
    <w:p>
      <w:r>
        <w:t>En ce qui concerne tout d'abord la notion de timbre officiel de valeur, il s'agit d'un signe destiné à être apposé sur un support matériel. Le plus souvent, il se présente sous la forme d'une vignette imprimée destinée à être collée sur un support (BERNARD CORBOZ, Les infractions en droit suisse, Vol. II, 3e éd., Berne 2010, n° 1 ad art. 245 CP). Le timbre doit être officiel, c'est-à-dire qu'il doit provenir de l'Etat, d'un organisme ou d'un établissement de droit public. Il doit également être de valeur. Selon le Tribunal fédéral, il s'agit d'un signe qui nécessite une protection semblable à la monnaie et aux billets de banque, parce qu'il est utilisé comme moyen de paiement dans un domaine spécifique ou qu'il sert de preuve du paiement pour une prestation spéciale (ATF 72 IV 30 p. 31). A titre d'exemples de timbres officiels de valeur, la doctrine cite la vignette autoroutière, la vignette pour les taxes de déchets ou la vignette d'impôt sur le tabac (CHRISTIANE LENTJES MEILI/STEFAN KELLER, in Basler Kommentar, Strafrecht II, 3e éd., Bâle 2013 [ci-après: BSK-Strafrecht II], n° 13 ad art. 245 CP; MICHEL DUPUIS ET AL., Petit Commentaire Code pénal, Bâle 2012 [ci-après: PETIT COMMENTAIRE CP], n° 13 ad art. 245 CP; MARCEL ALEXANDER NIGGLI, Kommentar zum schweizerischen Strafrecht, Schweizerisches Strafgesetzbuch, Besonderer Teil, Band 6a, Berne 2000, nos 27 ss ad art. 245 CP).</w:t>
      </w:r>
    </w:p>
    <w:p>
      <w:r>
        <w:rPr>
          <w:b/>
        </w:rPr>
        <w:t>E. 2.1.2</w:t>
      </w:r>
    </w:p>
    <w:p>
      <w:r>
        <w:t>S'agissant des comportements réprimés, l'art. 245 CP vise la contrefaçon, la falsification ou l'emploi d'un timbre officiel de valeur. Dans la première hypothèse (contrefaçon), l'auteur crée un timbre officiel de valeur, alors qu'il n'est pas autorisé à l'émettre (BERNARD CORBOZ, op. cit., n° 6 ad art. 245 CP). Dans la deuxième hypothèse (falsification), l'auteur modifie un timbre officiel de valeur authentique, alors qu'il n'est pas autorisé à le faire. Tel est notamment le cas si l'auteur modifie le timbre de telle manière qu'il en résulte l'impression d'une valeur</w:t>
      </w:r>
    </w:p>
    <w:p>
      <w:r>
        <w:t>- 7 - ne correspondant plus à celle d'origine (BERNARD CORBOZ, op. cit., n° 7 ad art. 245 CP; CHRISTIANE LENTJES MEILI/STEFAN KELLER, in BSK-Strafrecht II, n° 18 ad art. 245 CP et les auteurs cités; MARCEL ALEXANDER NIGGLI, op. cit., n° 35 ad art. 245 CP). L'art. 245 ch. 1 al. 2 CP mentionne spécialement l'hypothèse de l'oblitération. Il s'agit d'une marque apposée pour montrer que le timbre a été utilisé et qu'il ne peut en conséquence plus l'être une deuxième fois. Dans ce cas, la falsification consiste à effacer ou à faire disparaître l'oblitération pour utiliser le timbre à nouveau. L'auteur peut aussi, s'il a la maîtrise du tampon, apposer une seconde oblitération exactement sur la première, de manière à dissimuler cette dernière et à utiliser le timbre une seconde fois (BERNARD CORBOZ, op. cit., n° 8 ad art. 245 CP; MARCEL ALEXANDER NIGGLI, op. cit., n° 42 ad art. 245 CP). S'agissant enfin de la troisième hypothèse (emploi), elle concerne l'utilisation d'un timbre officiel de valeur faux, falsifié ou oblitéré (art. 245 ch. 2 CP). Lorsque l'auteur utilise un timbre officiel de valeur qu'il a lui-même contrefait, falsifié ou oblitéré, seul l'art. 245 ch. 1 CP trouve application. Dans ce cas, l'utilisation constitue un acte illicite coréprimé par cette disposition (CHRISTIANE LENTJES MEILI/STEFAN KELLER, in BSK-Strafrecht II, n° 35 ad art. 245 CP; PETIT COMMENTAIRE CP, n° 25 ad art. 245 CP; MARCEL ALEXANDER NIGGLI, op. cit., n° 66 ad art. 245 CP; STEFAN TRECHSEL/HANS VEST, in Schweizerisches Strafgesetzbuch, Praxiskommentar, 2e éd., Zurich/Saint-Gall 2013, n° 4 ad art. 245 CP).</w:t>
      </w:r>
    </w:p>
    <w:p>
      <w:r>
        <w:rPr>
          <w:b/>
        </w:rPr>
        <w:t>E. 2.1.3</w:t>
      </w:r>
    </w:p>
    <w:p>
      <w:r>
        <w:t>Du point de vue subjectif, l'infraction est intentionnelle. L'auteur doit avoir conscience de contrefaire ou de falsifier un timbre officiel de valeur, ou d'utiliser un tel timbre contrefait ou falsifié. Pour le cas de figure de l'art. 245 ch. 2 CP, l'auteur doit avoir eu, au moins par dol éventuel, conscience d'employer un timbre officiel de valeur faux, falsifié ou oblitéré. Il doit en outre avoir voulu l'employer comme s'il était authentique, intact ou encore valable (PETIT COMMENTAIRE CP, nos 21 ss ad art. 245 CP; MARCEL ALEXANDER NIGGLI, op. cit., n° 62 ad art. 245 CP).</w:t>
      </w:r>
    </w:p>
    <w:p>
      <w:r>
        <w:rPr>
          <w:b/>
        </w:rPr>
        <w:t>E. 2.2</w:t>
      </w:r>
    </w:p>
    <w:p>
      <w:r>
        <w:t>La vignette autoroutière doit être collée directement sur le véhicule avant l'emprunt d'une route nationale soumise à la redevance (art. 7 al. 2 LVA). Elle n'est plus valable si elle a été détachée du véhicule après avoir été collée correctement ou si elle a été détachée de son support sans avoir été collée directement sur le véhicule (art. 7 al. 4 let. a et b LVA). Selon l'art. 3 al. 1 et al. 2 let. a de l'ordonnance concernant la redevance pour l'utilisation des routes nationales (OVA; RS 741.711), la vignette autoroutière doit être collée directement sur le véhicule, à l'état intact, sur la face interne du pare-brise. Elle n'est plus valable si elle n'a pas été apposée de cette manière, si elle ou sa couche adhésive originale a été falsifiée ou si elle n'a pas été collée sur le véhicule à l'aide de sa couche adhésive originale (art. 3 al. 3 let. a à c OVA).</w:t>
      </w:r>
    </w:p>
    <w:p>
      <w:r>
        <w:t>- 8 - L'art. 7 al. 1 OVA prévoit encore que la vignette autoroutière doit être collée sur le véhicule conformément à l'art. 3 OVA immédiatement après l'achat.</w:t>
      </w:r>
    </w:p>
    <w:p>
      <w:r>
        <w:t>L'art. 14 al. 1 LVA prévoit que celui qui, en violation des art. 3 à 5 et 7 à 8 LVA, emprunte intentionnellement ou par négligence une route nationale soumise à la redevance au volant d'un véhicule, ou utilise la vignette de manière contraire à ces dispositions, est puni d'une amende de CHF 200.--. Quant à l'art. 14 al. 3 LVA, il prévoit que l'art. 245 CP est applicable.</w:t>
      </w:r>
    </w:p>
    <w:p>
      <w:r>
        <w:t>Selon la jurisprudence de la Cour des affaires pénales du Tribunal pénal fédéral, confirmée par le Tribunal fédéral, relative à l'art. 14 LVA (arrêt du Tribunal fédéral 6B_974/2014 du 3 juillet 2015; jugement SK.2014.13 du 25 août 2014, consid. 3.2 et 3.3), la simple contravention aux prescriptions de la LVA et de son ordonnance est sanctionnée d'une amende, en application de l'art. 14 al. 1 LVA. En revanche, la manipulation de la vignette autoroutière destinée à permettre une réutilisation abusive de celle-ci constitue une falsification au sens de l'art. 245 ch. 1 CP, applicable par renvoi de l'art. 14 al. 3 LVA. Tel est notamment le cas lorsque la vignette est recouverte d'un film adhésif transparent afin de pouvoir la réutiliser en lui donnant l'apparence d'une vignette encore valable (v. le Message du 30 janvier 2008 concernant la loi relative à la vignette autoroutière, FF 2008 1215, p. 1229 [en lien avec l'art. 14 al. 3 LVA]).</w:t>
      </w:r>
    </w:p>
    <w:p>
      <w:r>
        <w:rPr>
          <w:b/>
        </w:rPr>
        <w:t>E. 2.3.1</w:t>
      </w:r>
    </w:p>
    <w:p>
      <w:r>
        <w:t>En l'espèce, A. a été appréhendé le 9 juillet 2014 lors de son passage à la frontière du Grand-St-Bernard tunnel Nord. Il était au volant d'une voiture de marque Audi A4 de couleur blanche immatriculée NE 1. Ce véhicule était muni d'une vignette autoroutière 2014 n° 2. La vignette était collée sur un support plastique transparent. A. a ainsi utilisé une vignette d'autoroute falsifiée.</w:t>
      </w:r>
    </w:p>
    <w:p>
      <w:r>
        <w:rPr>
          <w:b/>
        </w:rPr>
        <w:t>E. 2.3.2</w:t>
      </w:r>
    </w:p>
    <w:p>
      <w:r>
        <w:t>A. conteste avoir manipulé la vignette. Il affirme que c'est le garage où il a acquis la voiture qui l'a collée sur le pare-brise. Il ajoute ne pas avoir remarqué que la vignette n'avait pas été collée selon les prescriptions légales, ni qu'elle était collée sur un film plastique.</w:t>
      </w:r>
    </w:p>
    <w:p>
      <w:r>
        <w:t>Le véhicule a été acheté le 13 février 2014 à Zurich. Il a été mis en circulation pour la première fois le 31 mai 2013 et immatriculé à Neuchâtel le 25 février 2014 (cf. dossier MPC, p. 05-00-0007). La vignette étant valable du 1er décembre au 31 janvier (pendant 14 mois), lors de l'achat, la vignette valable était la vignette 2014. A. a déclaré qu'il n'avait pas contrôlé de près la vignette lors de l'acquisition de l'Audi A4, mais qu'il avait constaté qu'il y en avait une, et qu'il savait qu'il en aurait besoin pour rentrer à son domicile (dossier MPC, p. 13-00-0008; dossier</w:t>
      </w:r>
    </w:p>
    <w:p>
      <w:r>
        <w:t>- 9 - TPF, p. 2 930 003). Son attention était focalisée sur le fonctionnement général du véhicule et il avait posé des questions au garagiste à ce sujet (dossier MPC, p. 13-00-0007 s.; dossier TPF, p. 2 930 002 s.). Après l'achat et lorsqu'il roulait, il n'avait rien remarqué de spécial, notamment du fait que la vignette était placée sous le rétroviseur central (dossier MPC, p. 13-00-0007 s.).</w:t>
      </w:r>
    </w:p>
    <w:p>
      <w:r>
        <w:t>Il ressort du dossier que la vignette litigieuse était posée sous le rétroviseur central. A. a constaté que le véhicule était muni d'une vignette, sans la regarder de près. Il paraît logique qu'il se soit assuré de sa présence, notamment parce qu'il en avait besoin pour rentrer à son domicile. Même si la face recto de la vignette était endommagée et cabossée, et la face verso, mal collée, il n'y a aucun motif de croire que A. se serait rendu à Zurich avec une vignette déjà oblitérée qu'il aurait collée lui-même sur le pare-brise du véhicule. Comme l'explique la défense, dans la pratique, les garagistes fournissent une vignette à l'achat d'un véhicule, ce qui semble avoir été le cas en l'occurrence. Il est par ailleurs compréhensible que A. n'ait pas examiné de près la vignette, tout pris qu'il était – comme il l'a dit – sur le fonctionnement et l'esthétique du véhicule. Sur la photo déposée au dossier, on constate certes que la face verso était mal collée (cf. dossier MPC, p. 05-00-0008). Il n'est cependant pas possible d'établir si tel était le cas déjà au moment de l'achat du véhicule, ou si le décollement est intervenu plus tard, et si oui à quel moment. Le tribunal a interrogé le prévenu sur le moyen qu'il utilisait pour laver sa voiture (dossier TPF, p. 2 930 003). A. a répondu qu'il fréquentait les tunnels de lavage, ce qui est dans l'ordre des choses s'agissant d'un homme de plus de 70 ans souffrant de problèmes cardiaques. Cela plaide pour sa version des faits, soit qu'il n'a pas remarqué la vignette manipulée, pas même au lavage. Quant à la face recto, elle était cachée sous le rétroviseur, de telle sorte que le conducteur de l'auto ne pouvait pas la voir. Il est par ailleurs impossible de déterminer l'apparence de la vignette avant qu'elle ne soit décollée par le garde-frontière, étant précisé qu'il suffit de la toucher pour qu'elle continue à se désintégrer. Pour tous ces motifs, il est peu probable que A. ait eu conscience d'utiliser une vignette falsifiée. L'art. 10 al. 3 CPP prescrit que lorsque subsistent des doutes insurmontables quant aux éléments factuels justifiant une condamnation, le tribunal se fonde sur l'état de fait le plus favorable au prévenu (v. à ce sujet arrêt du Tribunal pénal fédéral SK.2014.37 du 6 février 2015, consid. 2.2.5 ss). Par conséquent, A. est acquitté du chef de falsification des timbres officiels de valeur au sens de l'art. 245 ch. 2 CP.</w:t>
      </w:r>
    </w:p>
    <w:p>
      <w:r>
        <w:rPr>
          <w:b/>
        </w:rPr>
        <w:t>E. 3</w:t>
      </w:r>
    </w:p>
    <w:p>
      <w:r>
        <w:t>Confiscation</w:t>
      </w:r>
    </w:p>
    <w:p>
      <w:r>
        <w:rPr>
          <w:b/>
        </w:rPr>
        <w:t>E. 3.1</w:t>
      </w:r>
    </w:p>
    <w:p>
      <w:r>
        <w:t>A teneur de l'art. 249 al. 1 CP, les pièces de monnaie, le papier-monnaie, les billets de banque, les timbres officiels de valeur, les marques officielles, les</w:t>
      </w:r>
    </w:p>
    <w:p>
      <w:r>
        <w:t>- 10 - mesures, poids, balances et autres instruments de mesure faux ou falsifiés, ainsi que les appareils servant à la falsification, seront confisqués et rendus inutilisables ou détruits. L'art. 249 CP concrétise l'art. 69 CP et constitue une lex specialis par rapport à cette dernière disposition, étant donné que la confiscation obligatoire prévue spécifiquement à l'art. 249 CP n'exige pas la commission d'une infraction au sens des art. 240 ss CP (ATF 123 IV 55 consid. 1b p. 56 s.). Les principes jurisprudentiels dégagés dans l'application de l'art. 69 CP peuvent être pris en considération pour l'application de l'art. 249 CP, dont le principe de proportionnalité (ATF 123 IV 55 consid. 3a p. 59). Il en résulte que la destruction ne peut être prononcée que s'il n'est pas possible de mettre hors d'usage l'objet faux ou falsifié (CHRISTIANE LENTJES MEILI/STEFAN KELLER, in BSK-Strafrecht II, nos 6 et 7 ad art. 249 CP). Si l'objet confisqué est mis hors d'usage et que le but de la confiscation est ainsi atteint, rien n'empêche qu'il soit restitué à l'ayant droit, même s'il en est l'auteur, à la condition que cet objet ait conservé pour lui une certaine valeur (ATF 123 IV 55 consid. 3b p. 60 s.; arrêt du Tribunal fédéral 6B_356/2010 du 14 juillet 2010, consid. 2.6 et 2.7).</w:t>
      </w:r>
    </w:p>
    <w:p>
      <w:r>
        <w:rPr>
          <w:b/>
        </w:rPr>
        <w:t>E. 3.2</w:t>
      </w:r>
    </w:p>
    <w:p>
      <w:r>
        <w:t>En l'espèce, dans l'ordonnance pénale du 16 octobre 2014, le MPC a prononcé la confiscation et la destruction de la vignette autoroutière 2014 n° 2. Cette vignette n'ayant pas été collée avec sa couche adhésive originale, elle n'est plus valable (art. 7 al. 4 let. b LVA et art. 3 al. 3 let. c OVA). Afin de rendre cette vignette inutilisable et pallier le risque de confusion qu'elle présente avec une vignette valable, une marque officielle indélébile devrait être apposée sur sa surface originale. Cependant, pour des raisons techniques, il n'est pas possible de retirer le film adhésif transparent dont elle a été recouverte sans la détruire. Il n'apparaît pas non plus que cette vignette puisse être mise hors d'usage d'une autre manière. Dans ces circonstances, le but de la confiscation ne peut être atteint qu'en procédant à sa destruction, ce qui exclut une restitution. En outre, n'étant plus valable, cette vignette ne possède plus aucune valeur économique au sens des art. 6 et 7 al. 1 LVA, et il n'est pas établi qu'elle aurait conservé une autre valeur, par exemple de collection, comme cela peut être le cas pour les timbres-poste ou les pièces de monnaie. L'absence de cette condition empêche également sa restitution à A. En définitive, la vignette autoroutière 2014 n° 2 doit être confisquée et détruite.</w:t>
      </w:r>
    </w:p>
    <w:p>
      <w:r>
        <w:rPr>
          <w:b/>
        </w:rPr>
        <w:t>E. 4</w:t>
      </w:r>
    </w:p>
    <w:p>
      <w:r>
        <w:t>Frais</w:t>
      </w:r>
    </w:p>
    <w:p>
      <w:r>
        <w:rPr>
          <w:b/>
        </w:rPr>
        <w:t>E. 4.1</w:t>
      </w:r>
    </w:p>
    <w:p>
      <w:r>
        <w:t>La répartition des frais dans la procédure pénale fédérale est réglée par les art. 422 ss CPP, 73 LOAP et par le règlement du Tribunal pénal fédéral sur les frais, émoluments, dépens et indemnités de la procédure pénale fédérale du 31 août 2010 (RFPPF; RS 173.713.162).</w:t>
      </w:r>
    </w:p>
    <w:p>
      <w:r>
        <w:t>- 11 -</w:t>
      </w:r>
    </w:p>
    <w:p>
      <w:r>
        <w:rPr>
          <w:b/>
        </w:rPr>
        <w:t>E. 4.2</w:t>
      </w:r>
    </w:p>
    <w:p>
      <w:r>
        <w:t>En l'espèce, les frais de procédure sont mis à la charge de la Confédération (art. 423 al. 1 CPP et 426 al. 1 a contrario; arrêt du Tribunal pénal fédéral SK.2012.20 du 29 janvier 2013, consid. 3), ce qui ouvre le droit à une indemnité au sens de l'art. 429 CPP (ATF 137 IV 352 consid. 2.4.2 p. 357). Cela, étant précisé que les émoluments et débours chiffrés par le MPC dans l'ordonnance pénale du 16 octobre 2014, sont admis.</w:t>
      </w:r>
    </w:p>
    <w:p>
      <w:r>
        <w:rPr>
          <w:b/>
        </w:rPr>
        <w:t>E. 5</w:t>
      </w:r>
    </w:p>
    <w:p>
      <w:r>
        <w:t>Indemnité</w:t>
      </w:r>
    </w:p>
    <w:p>
      <w:r>
        <w:rPr>
          <w:b/>
        </w:rPr>
        <w:t>E. 5.1</w:t>
      </w:r>
    </w:p>
    <w:p>
      <w:r>
        <w:t>Selon l'art. 429 CPP, si le prévenu est acquitté totalement ou en partie ou s'il bénéficie d'une ordonnance de classement, il a droit à une indemnité pour les dépenses occasionnées par l'exercice raisonnable de ses droits de procédure (al. 1 let. a), une indemnité pour le dommage économique subi au titre de sa participation obligatoire à la procédure pénale (al. 1 let. b) et une réparation du tort moral subi en raison d'une atteinte particulièrement grave à sa personnalité, notamment en cas de privation de liberté (al. 1 let. c). L'autorité pénale examine d'office les prétentions du prévenu. Elle peut enjoindre à celui-ci de les chiffrer et de les justifier (al. 2).</w:t>
      </w:r>
    </w:p>
    <w:p>
      <w:r>
        <w:rPr>
          <w:b/>
        </w:rPr>
        <w:t>E. 5.2</w:t>
      </w:r>
    </w:p>
    <w:p>
      <w:r>
        <w:t>L'indemnité de l'art. 429 al. 1 let. a CPP correspond en principe au tarif usuel du barreau applicable dans le canton où la procédure se déroule. Pour la fixation des honoraires en matière judiciaire, certains cantons ont prévu un tarif, qui s'applique à titre subsidiaire faute d'accord particulier entre l'avocat et son client (v. FRANÇOIS BOHNET/VINCENT MARTENET, Droit de la profession d'avocat, Berne 2009, n° 2947, p. 1163). Lorsqu'une telle tarification cantonale existe, elle doit être prise en compte pour fixer le montant de l'indemnisation selon l'art. 429 al. 1 let. a CPP et elle sert de guide pour la détermination de ce qu'il faut entendre par frais de défense usuels dans le canton où la procédure s'est déroulée (arrêt du Tribunal fédéral 6B_392/2013 du 4 novembre 2013, consid. 2.3). L'Etat ne saurait toutefois être lié par une convention d'honoraires passée entre le prévenu et son avocat qui sortirait du cadre de ce qui est usuel. Dans une telle hypothèse, le prévenu peut être appelé à prendre en charge une partie de ses frais de défense résultant d'un tarif horaire supérieur convenu avec son défenseur (arrêt du Tribunal fédéral 6B_30/2010 du 1er juin 2010, consid. 5.4.2; STEFAN WEHRENBERG/FRIEDRICH FRANK, in Basler Kommentar, Schweizerisches Strafprozessordnung, 2e éd., Bâle 2014, n° 16 ad art. 429 CPP et les réf.). Ces principes jurisprudentiels valent aussi lorsque la procédure a eu lieu devant les autorités de la Confédération. Dans un tel cas, la tarification fédérale doit être prise en compte pour la fixation des honoraires en matière judiciaire (NIKLAUS OBERHOLZER, Grundzüge des Strafprozessrechts, 3e éd., Berne 2012, n° 1740, p. 613; v. art. 135 al. 1 CPP). Le tarif des honoraires applicable à la procédure pénale fédérale est défini par le RFPPF. Selon ce règlement, les frais d'avocat</w:t>
      </w:r>
    </w:p>
    <w:p>
      <w:r>
        <w:t>- 12 - comprennent les honoraires et les débours nécessaires, tels que les frais de déplacement, de repas, de nuitée, et les frais de port et de communications téléphoniques (art. 11 al. 1 RFPPF). Les honoraires sont fixés en fonction du temps effectivement consacré à la cause et nécessaire à la défense de la partie représentée. Le tarif horaire est de CHF 200.-- au minimum et de CHF 300.-- au maximum (art. 12 al. 1 RFPPF). Par renvoi de l'art. 10 RFPPF, les art. 11 et 12 RFPPF – qui concernent la défense d'office – s'appliquent également au calcul de l'indemnité des prévenus acquittés totalement ou partiellement et à la défense privée. Le tarif horaire en matière de défense privée étant ainsi fixé sur la base de l'art. 12 al. 1 RFPPF, la Cour n'est pas liée par le tarif horaire supérieur qui pourrait être convenu entre le prévenu et son avocat de choix (v. art. 11 al. 2 RFPPF). Selon la pratique constante de la Cour (v. arrêt du Tribunal pénal fédéral SK.2013.36 du 19 août 2014, consid. 9.2 et les arrêts cités), les honoraires d'un avocat de choix sont fixés à CHF 230.-- pour les heures de travail et à CHF 200.-- pour les heures de déplacement. Ces deux montants correspondent au tarif horaire usuel au sens de l'art. 12 al. 1 RFPPF (ATF 142 IV 163 consid. 3.1).</w:t>
      </w:r>
    </w:p>
    <w:p>
      <w:r>
        <w:rPr>
          <w:b/>
        </w:rPr>
        <w:t>E. 5.3</w:t>
      </w:r>
    </w:p>
    <w:p>
      <w:r>
        <w:t>En l'espèce, A. fait valoir un montant total de CHF 14'749.60 pour les honoraires de son défenseur. Cela correspond aux honoraires pour 22 heures 75 et 19 heures 30 minutes de travail et les débours. De ces heures, il convient de déduire huit heures de trajet de Neuchâtel à Bellinzona pour les débats du 20 avril 2015 et deux heures pour l'audition par-devant le MPC à Berne. Cela équivaut à un total de dix heures à CHF 200.-- par heure, soit CHF 2'000.--. La première note d'honoraires (pour l'activité du 24 octobre 2014 au 20 avril 2015) doit donc être amputée de dix heures. Il reste 12 heures 75 à CHF 230.--, représentant CHF 2'932.50. De la seconde note d'honoraires (pour l'activité du 20 avril 2015 au 31 octobre 2016), on déduira six heures, faute d'indication plus précise, représentant le temps de préparation de l'acte de recours du 14 octobre 2016, dont les frais et indemnités sont établis de manière indépendante de la procédure au fond. Treize heures 30 minutes à CHF 230.-- seront indemnisées, soit un montant de CHF 3'105.--. Les débours s'élèvent à CHF 397.--, soit CHF 197.-- pour les billets de train et CHF 200.-- pour la nuitée du 19 au 20 avril 2015. En conséquence, une indemnité totale de CHF 9'109.30 (CHF 8'434.50 + TVA [8%] CHF 674.80) sera versée à A.</w:t>
      </w:r>
    </w:p>
    <w:p>
      <w:r>
        <w:rPr>
          <w:b/>
        </w:rPr>
        <w:t>E. 5.4</w:t>
      </w:r>
    </w:p>
    <w:p>
      <w:r>
        <w:t>Pour le surplus, le prévenu n'a pas élevé d'autres prétentions en indemnité.</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