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SK.2015.13 vom 8. Mai 2015</w:t>
      </w:r>
    </w:p>
    <w:p>
      <w:r>
        <w:t>Bundesstrafgericht, 2015-05-08, DE</w:t>
      </w:r>
    </w:p>
    <w:p>
      <w:r>
        <w:rPr>
          <w:b/>
        </w:rPr>
        <w:t xml:space="preserve">Quelle: </w:t>
      </w:r>
      <w:r>
        <w:t>https://mcp.opencaselaw.ch/entscheid/bstger_SK.2015.13</w:t>
      </w:r>
    </w:p>
    <w:p>
      <w:r>
        <w:t>FR: TPF SK.2015.13 du 8 mai 2015</w:t>
      </w:r>
    </w:p>
    <w:p>
      <w:r>
        <w:t>IT: TPF SK.2015.13 del 8 maggio 2015</w:t>
      </w:r>
    </w:p>
    <w:p>
      <w:pPr>
        <w:pStyle w:val="Heading2"/>
      </w:pPr>
      <w:r>
        <w:t>Regeste</w:t>
      </w:r>
    </w:p>
    <w:p>
      <w:r>
        <w:t>Fälschung amtlicher Wertzeichen (Art. 245 Ziff. 1 StGB)</w:t>
      </w:r>
    </w:p>
    <w:p>
      <w:pPr>
        <w:pStyle w:val="Heading2"/>
      </w:pPr>
      <w:r>
        <w:t>Erwägungen</w:t>
      </w:r>
    </w:p>
    <w:p>
      <w:r>
        <w:rPr>
          <w:b/>
        </w:rPr>
        <w:t>E. 1</w:t>
      </w:r>
    </w:p>
    <w:p>
      <w:r>
        <w:t>A. wird schuldig gesprochen der Fälschung amtlicher Wertzeichen (Art. 245 Ziff. 1 StGB).</w:t>
      </w:r>
    </w:p>
    <w:p>
      <w:r>
        <w:rPr>
          <w:b/>
        </w:rPr>
        <w:t>E. 2</w:t>
      </w:r>
    </w:p>
    <w:p>
      <w:r>
        <w:t>A. wird bestraft mit einer Geldstrafe von 10 Tagessätzen zu je Fr. 30.–, bedingt vollziehbar bei einer Probezeit von 2 Jahren.</w:t>
      </w:r>
    </w:p>
    <w:p>
      <w:r>
        <w:rPr>
          <w:b/>
        </w:rPr>
        <w:t>E. 3</w:t>
      </w:r>
    </w:p>
    <w:p>
      <w:r>
        <w:t>A. wird bestraft mit einer Busse von Fr. 200.–.</w:t>
      </w:r>
    </w:p>
    <w:p>
      <w:r>
        <w:t>Bezahlt A. die Busse schuldhaft nicht, so tritt an deren Stelle eine Ersatzfreiheitsstrafe von 6 Tagen.</w:t>
      </w:r>
    </w:p>
    <w:p>
      <w:r>
        <w:rPr>
          <w:b/>
        </w:rPr>
        <w:t>E. 4</w:t>
      </w:r>
    </w:p>
    <w:p>
      <w:r>
        <w:t>Der Kanton Thurgau wird als Vollzugskanton bestimmt (Art. 74 Abs. 2 StBOG).</w:t>
      </w:r>
    </w:p>
    <w:p>
      <w:r>
        <w:rPr>
          <w:b/>
        </w:rPr>
        <w:t>E. 5</w:t>
      </w:r>
    </w:p>
    <w:p>
      <w:r>
        <w:t>Die beschlagnahmte Autobahnvignette (1) wird eingezogen und vernichtet (Art. 249 Abs. 1 StGB).</w:t>
      </w:r>
    </w:p>
    <w:p>
      <w:r>
        <w:rPr>
          <w:b/>
        </w:rPr>
        <w:t>E. 6</w:t>
      </w:r>
    </w:p>
    <w:p>
      <w:r>
        <w:t>Die Verfahrenskosten, bestehend aus den Gebühren des Vorverfahrens von Fr. 290.–, den Auslagen der Bundesanwaltschaft von Fr. 10.– und der Gerichtsgebühr von Fr. 500.–, ausmachend Fr. 800.–, werden A. auferlegt.</w:t>
      </w:r>
    </w:p>
    <w:p>
      <w:r>
        <w:t>Wird seitens A. keine schriftliche Begründung des Urteils verlangt, so reduziert sich die Gerichtsgebühr um die Hälfte. II. Dieses Urteil wird in der Hauptverhandlung eröffnet und durch den Einzelrichter mündlich begründet. A. wird das Urteilsdispositiv ausgehändigt; der nicht anwesenden Bundesan- waltschaft wird es schriftlich zugestellt.</w:t>
      </w:r>
    </w:p>
    <w:p>
      <w:r>
        <w:t>Im Namen der Strafkammer des Bundesstrafgerichts</w:t>
      </w:r>
    </w:p>
    <w:p>
      <w:r>
        <w:t>Der Einzelrichter Der Gerichtsschreiber</w:t>
      </w:r>
    </w:p>
    <w:p>
      <w:r>
        <w:t>- 3 - Nach Eintritt der Rechtskraft mitzuteilen an:  Bundesanwaltschaft als Vollzugsbehörde (vollständig)  Eidg. Zollverwaltung EZV</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(Art. 82 Abs. 2 StPO). 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8.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