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SK.2014.32 vom 19. Dezember 2014</w:t>
      </w:r>
    </w:p>
    <w:p>
      <w:r>
        <w:t>Bundesstrafgericht, 2014-12-19, FR</w:t>
      </w:r>
    </w:p>
    <w:p>
      <w:r>
        <w:rPr>
          <w:b/>
        </w:rPr>
        <w:t xml:space="preserve">Quelle: </w:t>
      </w:r>
      <w:r>
        <w:t>https://mcp.opencaselaw.ch/entscheid/bstger_SK.2014.32</w:t>
      </w:r>
    </w:p>
    <w:p>
      <w:r>
        <w:t>FR: TPF SK.2014.32 du 19 décembre 2014</w:t>
      </w:r>
    </w:p>
    <w:p>
      <w:r>
        <w:t>IT: TPF SK.2014.32 del 19 dicembre 2014</w:t>
      </w:r>
    </w:p>
    <w:p>
      <w:pPr>
        <w:pStyle w:val="Heading2"/>
      </w:pPr>
      <w:r>
        <w:t>Regeste</w:t>
      </w:r>
    </w:p>
    <w:p>
      <w:r>
        <w:t>Service de renseignements économiques (art. 273 CP) et violation du secret de fabrication ou du secret commercial (art. 162 CP)</w:t>
      </w:r>
    </w:p>
    <w:p>
      <w:pPr>
        <w:pStyle w:val="Heading2"/>
      </w:pPr>
      <w:r>
        <w:t>Erwägungen</w:t>
      </w:r>
    </w:p>
    <w:p>
      <w:r>
        <w:rPr>
          <w:b/>
        </w:rPr>
        <w:t>E. 1</w:t>
      </w:r>
    </w:p>
    <w:p>
      <w:r>
        <w:t>Compétence de la Cour</w:t>
      </w:r>
    </w:p>
    <w:p>
      <w:r>
        <w:rPr>
          <w:b/>
        </w:rPr>
        <w:t>E. 1.1</w:t>
      </w:r>
    </w:p>
    <w:p>
      <w:r>
        <w:t>La Cour examine d’office si sa compétence à raison de la matière est donnée au regard de l’art. 35 al. 1 de la loi fédérale sur l’organisation des autorités pénales de la Confédération (LOAP; RS 173.71) et des art. 23 et 24 CPP, qui énumèrent les infractions relevant de la compétence fédérale.</w:t>
      </w:r>
    </w:p>
    <w:p>
      <w:r>
        <w:rPr>
          <w:b/>
        </w:rPr>
        <w:t>E. 1.2</w:t>
      </w:r>
    </w:p>
    <w:p>
      <w:r>
        <w:t>En l'espèce, après avoir prononcé la jonction auprès des autorités fédérales, le MPC a ouvert le 24 juin 2013 une instruction pénale contre A. pour les chefs de service de renseignements économiques (art. 273 CP), vol (art. 139 CP), viola- tion du secret de fabrication ou du secret commercial (art. 162 CP), faux dans les titres (art. 251 CP) et violation du secret professionnel au sens de l'art. 43 LBVM. Par acte d'accusation du 24 septembre 2014, le prénommé a été renvoyé devant la Cour pour répondre des accusations de service de renseignements écono- miques (art. 273 CP) et de violation du secret de fabrication ou du secret com- mercial (art. 162 CP). La première infraction reprochée au prévenu relève de la juridiction fédérale (art. 23 al. 1 let. h CPP). Quant à la seconde, elle relève éga- lement de cette juridiction, compte tenu de la jonction ordonnée par le MPC (art. 26 al. 2 CPP). Partant, la compétence à raison de la matière de la Cour est donnée.</w:t>
      </w:r>
    </w:p>
    <w:p>
      <w:r>
        <w:rPr>
          <w:b/>
        </w:rPr>
        <w:t>E. 2</w:t>
      </w:r>
    </w:p>
    <w:p>
      <w:r>
        <w:t>Conditions de lieu (art. 3 et 8 CP)</w:t>
      </w:r>
    </w:p>
    <w:p>
      <w:r>
        <w:rPr>
          <w:b/>
        </w:rPr>
        <w:t>E. 2.1</w:t>
      </w:r>
    </w:p>
    <w:p>
      <w:r>
        <w:t>Le Code pénal est applicable à quiconque commet un crime ou un délit en Suisse (art. 3 al. 1 CP), respectivement à quiconque commet à l'étranger un crime ou un délit contre l'Etat et la défense nationale (art. 265 à 278) (art. 4 al. 1 CP). Selon l'art. 8 al. 1 CP, un crime ou un délit est réputé commis tant au lieu où l'auteur a agi ou aurait dû agir qu'au lieu où le résultat s'est produit.</w:t>
      </w:r>
    </w:p>
    <w:p>
      <w:r>
        <w:rPr>
          <w:b/>
        </w:rPr>
        <w:t>E. 2.2</w:t>
      </w:r>
    </w:p>
    <w:p>
      <w:r>
        <w:t>A teneur de l'acte d'accusation, l'infraction de service de renseignements éco- nomiques (art. 273 CP) reprochée à A. aurait été commise en Suisse et dans le pays Y. Cette infraction entre dans le champ d'application des art. 3 al. 1 et 4</w:t>
      </w:r>
    </w:p>
    <w:p>
      <w:r>
        <w:t>- 13 - al. 1 CP, de sorte que la compétence à raison du lieu est donnée en ce qui la concerne. Quant à l'infraction de violation du secret de fabrication ou du secret commercial (art. 162 CP), l'acte d'accusation mentionne que celle-ci aurait été commise dans le pays Y., sans évoquer pour autant la survenance d'un quel- conque résultat en Suisse (art. 8 al. 1 CP). Dans sa jurisprudence récente, le Tribunal fédéral a retenu que, pour éviter des conflits de compétence négatifs, il convenait en principe, dans le cadre de problématiques internationales, d'ad- mettre la compétence des autorités pénales suisses, même en l'absence d'un lien étroit avec la Suisse (ATF 133 IV 171 consid. 6.3 p. 177). En l'état, les se- crets commerciaux au sens de l'art. 162 CP que le prévenu aurait révélés con- cernent deux sociétés de droit suisse de siège social à Genève. Le siège en Suisse de ces deux sociétés constitue un critère de rattachement territorial suffi- sant pour reconnaître la compétence des autorités pénales suisses, en applica- tion de la jurisprudence précitée. Partant, la compétence à raison du lieu de la Cour est donnée.</w:t>
      </w:r>
    </w:p>
    <w:p>
      <w:r>
        <w:rPr>
          <w:b/>
        </w:rPr>
        <w:t>E. 3</w:t>
      </w:r>
    </w:p>
    <w:p>
      <w:r>
        <w:t>Légalité de la procédure simplifiée</w:t>
      </w:r>
    </w:p>
    <w:p>
      <w:r>
        <w:rPr>
          <w:b/>
        </w:rPr>
        <w:t>E. 3.1</w:t>
      </w:r>
    </w:p>
    <w:p>
      <w:r>
        <w:t>A teneur de l'art. 362 al. 1 let. a CPP, le tribunal apprécie librement si l'exécution de la procédure simplifiée est conforme au droit. Selon l'art. 358 CPP, jusqu'à la mise en accusation, le prévenu qui a reconnu les faits déterminants pour l'appré- ciation juridique ainsi que, au moins dans leur principe, les prétentions civiles peut demander l'exécution d'une procédure simplifiée au ministère public (al. 1). La procédure simplifiée est exclue lorsque le ministère public requiert une peine privative de liberté supérieure à cinq ans (al. 2).</w:t>
      </w:r>
    </w:p>
    <w:p>
      <w:r>
        <w:rPr>
          <w:b/>
        </w:rPr>
        <w:t>E. 3.2</w:t>
      </w:r>
    </w:p>
    <w:p>
      <w:r>
        <w:t>En l'occurrence, le prévenu A. a reconnu les faits déterminants et il a demandé l'exécution de la procédure simplifiée en temps utile. La peine privative de liberté requise par le MPC se situe dans la limite légale de l'art. 358 al. 2 CPP et l'acte d'accusation – accepté irrévocablement par le prévenu (art. 360 al. 2 CPP) – sa- tisfait aux exigences de l'art. 360 al. 1 CPP. Par conséquent, les conditions lé- gales de la procédure simplifiée sont données.</w:t>
      </w:r>
    </w:p>
    <w:p>
      <w:r>
        <w:rPr>
          <w:b/>
        </w:rPr>
        <w:t>E. 4</w:t>
      </w:r>
    </w:p>
    <w:p>
      <w:r>
        <w:t>Justification de la procédure simplifiée</w:t>
      </w:r>
    </w:p>
    <w:p>
      <w:r>
        <w:rPr>
          <w:b/>
        </w:rPr>
        <w:t>E. 4.1</w:t>
      </w:r>
    </w:p>
    <w:p>
      <w:r>
        <w:t>Selon l'art. 362 al. 1 let. a in fine CPP, le tribunal apprécie librement si l'exécution de la procédure simplifiée est justifiée. L'examen du caractère opportun de cette procédure s'effectue au moyen de critères objectifs (GEORGES GREINER/IRMA JAGGI, in Basler Kommentar, Schweizerische Strafprozessordnung, 2e éd., Bâle 2014 [ci-après: BSK-StPO], nos 7 et 8 ad art. 362 CPP; v. arrêt du Tribunal pénal fédéral SK.2013.26 du 22 août 2013, consid. 5).</w:t>
      </w:r>
    </w:p>
    <w:p>
      <w:r>
        <w:t>- 14 -</w:t>
      </w:r>
    </w:p>
    <w:p>
      <w:r>
        <w:rPr>
          <w:b/>
        </w:rPr>
        <w:t>E. 4.2</w:t>
      </w:r>
    </w:p>
    <w:p>
      <w:r>
        <w:t>L'acte d'accusation reproche au prévenu A. d'avoir, en sa qualité d'ancien cadre de B. SA, puis d'ancien gérant de C. Sàrl, commis une infraction aux art. 162 et 273 CP, au motif qu'il aurait révélé à plusieurs reprises en 2013 dans les médias du pays Y. et lors de ses auditions par des autorités politiques et judiciaires du pays Y. des informations confidentielles concernant l'activité économique de ces deux sociétés. Parmi les informations qu'il aurait dévoilées figurent les noms de plusieurs clients ou relations d'affaires présumés desdites sociétés. L'exécution de la procédure simplifiée dans le cas présent se justifie pour plusieurs raisons. D'une part, les faits décrits dans l'acte d'accusation sont peu nombreux et le pré- venu les a reconnus après avoir été interrogé plusieurs fois au cours de l'instruc- tion. Une administration complémentaire des preuves aux débats n'apparaît donc plus nécessaire à la recherche de la vérité matérielle, ce qui plaide en faveur de la procédure simplifiée (v. art. 361 al. 4 CPP). D'autre part, un accord entre le prévenu et les parties plaignantes a pu être trouvé sur les prétentions civiles, de sorte que, pour ce volet de la procédure, une administration complémentaire des preuves aux débats n'apparaît pas non plus nécessaire (v. art. 123 al. 1 CPP). La conduite à terme de la procédure pénale dans un bref délai apparaît dès lors être dans l'intérêt de tous les intervenants. La procédure ordinaire étant par défi- nition plus longue, l'exécution de la procédure simplifiée apparaît aussi légitime sous l'angle du principe de célérité (art. 5 CPP). Dans ces circonstances, la Cour estime que l'exécution de la procédure simplifiée est justifiée.</w:t>
      </w:r>
    </w:p>
    <w:p>
      <w:r>
        <w:rPr>
          <w:b/>
        </w:rPr>
        <w:t>E. 5</w:t>
      </w:r>
    </w:p>
    <w:p>
      <w:r>
        <w:t>Concordance de l'accusation avec le résultat des débats et le dossier</w:t>
      </w:r>
    </w:p>
    <w:p>
      <w:r>
        <w:rPr>
          <w:b/>
        </w:rPr>
        <w:t>E. 5.1</w:t>
      </w:r>
    </w:p>
    <w:p>
      <w:r>
        <w:t>Le tribunal apprécie librement si l'accusation concorde avec le résultat des dé- bats et le dossier (art. 362 al. 1 let. b CPP). Selon la doctrine, cet examen est sommaire (GEORGES GREINER/IRMA JAGGI, in BSK-StPO, n° 9 ad art. 362 CPP; BERTRAND PERRIN, in Commentaire romand, Code de procédure pénale suisse, Bâle 2011 [ci-après: CR-CPP], n° 4 ad art. 362 CPP).</w:t>
      </w:r>
    </w:p>
    <w:p>
      <w:r>
        <w:rPr>
          <w:b/>
        </w:rPr>
        <w:t>E. 5.2</w:t>
      </w:r>
    </w:p>
    <w:p>
      <w:r>
        <w:t>En l'espèce, la Cour a procédé à un examen de l'acte d'accusation. Au terme de cet examen, elle est parvenue à la conclusion que l'accusation concorde avec le dossier de la cause. De même, la Cour a procédé à l'interrogatoire du prévenu A. durant les débats. Celui-ci a une nouvelle fois reconnu les faits fondant l'accusa- tion. A cette occasion, la Cour a pu constater que la déposition du prénommé concorde avec le dossier. Les conditions des art. 361 al. 2 et 362 al. 1 let. b CPP sont ainsi réunies. Par conséquent, A. est reconnu coupable de service de ren- seignements économiques (art. 273 CP) pour les faits décrits au considérant 1.1 de l'acte d'accusation et de violation du secret de fabrication ou du secret com- mercial (art. 162 CP) pour les faits décrits au considérant 1.2 de l'acte d'accusa- tion.</w:t>
      </w:r>
    </w:p>
    <w:p>
      <w:r>
        <w:t>- 15 -</w:t>
      </w:r>
    </w:p>
    <w:p>
      <w:r>
        <w:rPr>
          <w:b/>
        </w:rPr>
        <w:t>E. 6</w:t>
      </w:r>
    </w:p>
    <w:p>
      <w:r>
        <w:t>Adéquation des sanctions proposées</w:t>
      </w:r>
    </w:p>
    <w:p>
      <w:r>
        <w:rPr>
          <w:b/>
        </w:rPr>
        <w:t>E. 6.1</w:t>
      </w:r>
    </w:p>
    <w:p>
      <w:r>
        <w:t>Le tribunal apprécie librement si les sanctions proposées sont appropriées (art. 362 al. 1 let. c CPP). Il appartient au tribunal de vérifier si les règles sur la fixation de la peine, respectivement celles relatives au sursis, sont respectées (BERTRAND PERRIN, in CR-CPP, n° 5 ad art. 362 CPP).</w:t>
      </w:r>
    </w:p>
    <w:p>
      <w:r>
        <w:rPr>
          <w:b/>
        </w:rPr>
        <w:t>E. 6.2</w:t>
      </w:r>
    </w:p>
    <w:p>
      <w:r>
        <w:t>Le juge fixe la peine d'après la culpabilité de l'auteur. Il prend en considération les antécédents et la situation personnelle de ce dernier ainsi que l'effet de la peine sur son avenir (art. 47 al. 1 CP). La culpabilité est déterminée par la gravi- té de la lésion ou de la mise en danger du bien juridique concerné, par le carac- tère répréhensible de l'acte, par les motivations et les buts de l'auteur et par la mesure dans laquelle celui-ci aurait pu éviter la mise en danger ou la lésion, compte tenu de sa situation personnelle et des circonstances extérieures (art. 47 al. 2 CP). La culpabilité de l'auteur doit être évaluée en fonction de tous les élé- 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 dents, la réputation, la situation personnelle (état de santé, âge, obligations fami- liales, situation professionnelle, risque de récidive, etc.), la vulnérabilité face à la peine, de même que le comportement après l'acte et au cours de la procédure pénale (ATF 134 IV 17 consid. 2.1 p. 19 s.; 129 IV 6 consid. 6.1 p. 20; arrêt du Tribunal fédéral 6B_759/2011 du 19 avril 2012, consid. 1.1).</w:t>
      </w:r>
    </w:p>
    <w:p>
      <w:r>
        <w:rPr>
          <w:b/>
        </w:rPr>
        <w:t>E. 6.3</w:t>
      </w:r>
    </w:p>
    <w:p>
      <w:r>
        <w:t>Si, en raison d'un ou de plusieurs actes, l'auteur remplit les conditions de plu- 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En vertu de cette disposition, le principe d'aggravation (Asperationsprinzip) est ap- plicable si l'auteur remplit les conditions de plusieurs peines de même genre. En revanche, lorsque la loi pénale ne prévoit pas le même genre de peine pour toutes les infractions, les peines doivent être prononcées de manière cumulative (ATF 137 IV 57 consid. 4.3.1 p. 58).</w:t>
      </w:r>
    </w:p>
    <w:p>
      <w:r>
        <w:rPr>
          <w:b/>
        </w:rPr>
        <w:t>E. 6.4</w:t>
      </w:r>
    </w:p>
    <w:p>
      <w:r>
        <w:t>En l'espèce, le MPC a proposé que A. soit condamné à une peine privative de liberté de 24 mois, sous déduction de 76 jours de détention provisoire, et qu'il soit mis au bénéfice du sursis à l'exécution de la peine avec un délai d'épreuve de trois ans. Il convient ainsi de déterminer, d'une part, si la peine privative de li-</w:t>
      </w:r>
    </w:p>
    <w:p>
      <w:r>
        <w:t>- 16 - berté de 24 mois proposée est appropriée et si, d'autre part, le prévenu peut être mis au bénéfice du sursis à l'exécution de celle-ci.</w:t>
      </w:r>
    </w:p>
    <w:p>
      <w:r>
        <w:rPr>
          <w:b/>
        </w:rPr>
        <w:t>E. 6.4.1</w:t>
      </w:r>
    </w:p>
    <w:p>
      <w:r>
        <w:t>Les deux infractions dont A. est reconnu coupable offrent la possibilité au juge de prononcer une peine privative de liberté de trois ans au plus, soit une peine de même genre, puisque le cas grave de l'art. 273 CP n'a pas été retenu par le MPC. Quant au maximum légal de la peine privative de liberté applicable, il est de quatre ans et six mois, selon la règle de l'art. 49 al. 1 CP, compte tenu du concours d'infractions idéal entre les art. 162 al. 1 CP et 273 CP (MARCEL ALEXANDER NIGGLI/NADINE HAGENSTEIN, in Basler Kommentar, Strafrecht II, 3e éd., Bâle 2013, n° 47 ad art. 162 CP; MICHEL DUPUIS ET AL., Petit commentaire, Code pénal, Bâle 2012, n° 16 ad art. 162 CP). Sur le plan objectif, les actes dont A. s'est rendu coupable sont graves. En sa qualité de cadre de B. SA, puis de gérant de C. Sàrl, le prénommé s'était enga- gé, conformément à l'art. 321a al. 4 CO, à garder le secret après la fin des rap- ports de travail sur les faits dont il a eu connaissance lors de son activité profes- sionnelle (v. dossier MPC, p. 13-00-00-0103 ss et 13-00-00-0110 ss). A la suite de son licenciement en date du 31 juillet 2010, il a pourtant révélé à plusieurs re- prises en 2013 dans les médias du pays Y. et lors de ses auditions par des auto- rités politiques et judiciaires du pays Y. les noms de plusieurs clients et relations d'affaires présumés de ces deux sociétés, bien que ces noms étaient destinés à rester confidentiels. De la même manière, il a aussi répandu des informations, dont la plupart sans aucun fondement concret et pour certaines erronées, sur le fonctionnement interne, l'organisation et les activités confidentielles de ces deux sociétés. Ces faits entrent dans le champ d'application des art. 162 CP et 273 CP. Le choix du prévenu de s'adresser aux médias du pays Y., puis de se mettre à la disposition des autorités politiques et judiciaires du pays Y., était susceptible de créer un dommage économique à ses anciens employeurs s'agissant des se- crets commerciaux dont il devait préserver la confidentialité. En outre, ses actes étaient susceptibles de mettre en danger la souveraineté économique de la Suisse en ce qui concerne les secrets d'affaires qui ont été rendus accessibles à des organismes officiels étrangers et à des entreprises privées étrangères. En effet, ses nombreuses déclarations ont concerné l'activité bancaire et la gestion de fortune de deux sociétés avec siège social en Suisse. A cet égard, il est no- toire que ces secteurs sont d'une importance certaine pour l'économie nationale. Par ce biais, A. a également mis en danger les intérêts économiques nationaux, tels qu'ils sont protégés par l'art. 273 CP. Sur le plan subjectif, A. a fait preuve d'une volonté délictuelle importante. Il savait que les informations qu'il a révélées étaient confidentielles et qu'elles consti- tuaient des secrets d'affaires et des secrets commerciaux. Il a agi intentionnelle-</w:t>
      </w:r>
    </w:p>
    <w:p>
      <w:r>
        <w:t>- 17 - ment dans le but de nuire à ses anciens employeurs à la suite de son licencie- ment, tout en ayant eu conscience du tort qu'il pouvait causer à ces derniers. A. ne bénéficie d'aucune circonstance atténuante au sens de l'art. 48 CP. Par contre, il a reconnu les faits déterminants et les prétentions civiles formulées par les parties plaignantes. De même, il s'est bien comporté au cours de la procé- dure pénale en collaborant avec le MPC. Il convient de tenir compte en sa faveur de ces éléments pour la fixation de la peine dans le cadre ordinaire de l'art. 47 CP. Sur la base des motifs qui viennent d'être exposés, la Cour estime que la peine privative de liberté de 24 mois proposée est adéquate pour sanctionner les agis- sements coupables de A. La durée de la détention provisoire que A. a subie du 5 juillet 2013 au 18 septembre 2013, soit 76 jours au total, doit être déduite de la peine (art. 51 CP).</w:t>
      </w:r>
    </w:p>
    <w:p>
      <w:r>
        <w:rPr>
          <w:b/>
        </w:rPr>
        <w:t>E. 6.4.2</w:t>
      </w:r>
    </w:p>
    <w:p>
      <w:r>
        <w:t>L'octroi d'un sursis à l'exécution de la peine privative de liberté est envisageable, étant donné que la peine privative de liberté précitée respecte la condition objec- tive de l'art. 42 al. 1 CP. Pour l'octroi du sursis, le juge doit poser un pronostic quant au comportement futur de l'auteur. La question de savoir si le sursis serait de nature à détourner l'accusé de commettre de nouvelles infractions doit être tranchée sur la base d'une appréciation d'ensemble tenant compte des circons- tances de l'infraction, des antécédents de l'auteur, de sa réputation et de sa si- tuation personnelle au moment du jugement. Le pronostic doit être posé sur la base de tous les éléments propres à éclairer le caractère de l'accusé et ses chances d'amendement. Le sursis ne peut être refusé qu'en présence d'un pro- nostic défavorable (ATF 135 IV 180 consid. 2.1 p. 185 s.). En l'occurrence, A. a reconnu les faits déterminants, ainsi que les prétentions ci- viles, et il a collaboré avec le MPC, ce qui a permis à cette dernière autorité d'engager une procédure simplifiée dans un délai raisonnable. Au bénéfice d'une formation commerciale et d'une expérience dans le domaine financier, l'on peut estimer que sa recherche actuelle d'un emploi fixe n'est que temporaire. En outre, il semble jouir d'une situation personnelle et familiale stable. Ces circons- tances permettent d'éclairer le caractère du prévenu et ses chances d'amende- ment sous un angle positif. S'agissant des antécédents judiciaires du prévenu, ceux-ci n'apparaissent pas suffisamment graves pour poser un pronostic défavo- rable quant à son comportement futur. Le pronostic peut donc être qualifié de fa- vorable et le prévenu peut être mis au bénéfice du sursis à l'exécution de la peine privative de liberté de 24 mois. En ce qui concerne le délai d'épreuve, il est fixé à trois ans (art. 44 al. 1 CP).</w:t>
      </w:r>
    </w:p>
    <w:p>
      <w:r>
        <w:t>- 18 -</w:t>
      </w:r>
    </w:p>
    <w:p>
      <w:r>
        <w:rPr>
          <w:b/>
        </w:rPr>
        <w:t>E. 6.5.1</w:t>
      </w:r>
    </w:p>
    <w:p>
      <w:r>
        <w:t>A teneur de l'art. 46 CP, si, durant le délai d'épreuve, le condamné commet un crime ou un délit et qu'il y a dès lors lieu de prévoir qu'il commettra de nouvelles infractions, le juge révoque le sursis ou le sursis partiel (al. 1). S'il n'y a pas lieu de prévoir que le condamné commettra de nouvelles infractions, le juge renonce à ordonner la révocation. Il peut adresser au condamné un avertissement et pro- longer le délai d'épreuve de la moitié au plus de la durée fixée dans le jugement. Si la prolongation intervient après l'expiration du délai d'épreuve, elle court dès le jour où elle est ordonnée (al. 2).</w:t>
      </w:r>
    </w:p>
    <w:p>
      <w:r>
        <w:t>Lorsque le juge est appelé à connaître d'un crime ou d'un délit que l'auteur a commis après une précédente condamnation à une peine assortie du sursis, il est également compétent pour statuer sur la révocation de ce dernier (art. 46 al. 3 CP). Il doit examiner si les conditions d'une révocation sont réunies, laquelle postule que le crime ou le délit dont il est appelé à connaître ait été commis pen- dant le délai d'épreuve du sursis antérieur et qu'il y ait dès lors lieu de prévoir que l'auteur commettra de nouvelles infractions. Cette dernière condition im- plique l'existence d'un pronostic défavorable quant au comportement futur du condamné (ATF 134 IV 140 consid. 4.3 p. 143). Elle correspond donc à l'une des conditions de l'octroi du sursis, de sorte que, comme dans ce dernier cas, le pro- nostic à émettre doit reposer sur une appréciation d'ensemble de tous les élé- ments pertinents (ATF 134 IV 140 consid. 4.4 p. 143/144 et les arrêts cités).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si le sursis précédent est révoqué, l'exécu- tion de la peine qui en était assortie peut conduire à nier l'existence d'un pronos- tic défavorable pour la nouvelle peine et, partant, à assortir cette dernière du sursis (ATF 134 IV 140 consid. 4.5 p. 144).</w:t>
      </w:r>
    </w:p>
    <w:p>
      <w:r>
        <w:rPr>
          <w:b/>
        </w:rPr>
        <w:t>E. 6.5.2</w:t>
      </w:r>
    </w:p>
    <w:p>
      <w:r>
        <w:t>Selon les informations figurant sur l'extrait de son casier judiciaire suisse, A. a été condamné le 1er mai 2012 par le Ministère public de l'arrondissement de Lausanne à une peine pécuniaire de 20 jours-amende à CHF 40.--, assortie du sursis à l'exécution de la peine avec un délai d'épreuve de deux ans, pour viola- tion des règles de la circulation routière (art. 90 ch. 1 aLCR) et conduite d'un vé- hicule automobile sans permis de conduire (art. 95 al. 1 let. a LCR). Les infrac- tions de service de renseignements économiques (art. 273 CP) et de violation du secret de fabrication ou du secret commercial (art. 162 CP) dont le prénommé a été reconnu coupable ont été commises en 2013, selon les faits décrits aux con- sidérants 1.1 et 1.2 de l'acte d'accusation, soit durant le délai d'épreuve précité.</w:t>
      </w:r>
    </w:p>
    <w:p>
      <w:r>
        <w:t>- 19 - La Cour doit dès lors examiner si les conditions de la révocation du sursis accor- dé le 1er mai 2012 sont réunies. Il a été retenu au considérant 6.4.2 que le pro- nostic pouvait être qualifié de favorable en ce qui concerne le comportement fu- tur de A. Ces considérations peuvent être reprises à ce stade. Ainsi, l'effet dis- suasif que représente, le cas échéant, l'exécution de la peine privative de liberté de deux ans prononcée par la Cour apparaît suffisant pour confirmer les pers- pectives d'amendement du prévenu. Dans ces circonstances, il ne se justifie pas de révoquer le sursis accordé par le Ministère public de l'arrondissement de Lau- sanne. En revanche, le délai d'épreuve imparti par cette autorité doit être prolon- gé d'une année (art. 46 al. 2 CP).</w:t>
      </w:r>
    </w:p>
    <w:p>
      <w:r>
        <w:rPr>
          <w:b/>
        </w:rPr>
        <w:t>E. 7</w:t>
      </w:r>
    </w:p>
    <w:p>
      <w:r>
        <w:t>Confiscation</w:t>
      </w:r>
    </w:p>
    <w:p>
      <w:r>
        <w:rPr>
          <w:b/>
        </w:rPr>
        <w:t>E. 7.1</w:t>
      </w:r>
    </w:p>
    <w:p>
      <w:r>
        <w:t>A teneur de l'art. 69 CP, alors même qu’aucune personne déterminée n’est pu- nissable,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Pour procéder à une confiscation, il doit exister un lien de con- nexité entre la commission de l'infraction et l'objet à confisquer (ATF 128 IV 81 consid. 4.2 p. 94). Seul peut être confisqué en vertu de l'art. 69 al. 1 CP l'objet qui a servi ou devait servir à commettre une infraction ou qui est le produit d'une infraction. Le premier cas de figure cette disposition ("objet qui a servi à com- mettre une infraction") vise celui où l'objet a effectivement servi à la commission d'une infraction concrète. S'agissant du deuxième cas ("objet qui devait servir à commettre une infraction"), il n'est pas nécessaire que l'infraction ait effective- ment été commise ou simplement tentée. Il doit cependant exister un risque sé- rieux que l'objet puisse servir à la commission d'une infraction (ATF 125 IV 185 consid. 2a p. 187). Quant au troisième cas ("objet qui est le produit d'une infrac- tion"), il concerne celui où l'objet est le produit ("producta sceleris"; "Tatprodukt") d'une infraction concrète (cf. les exemples cités par FLORIAN BAUMANN, in Basler Kommentar, Strafrecht I, 3e éd., Bâle 2013 [ci-après: BK-Strafrecht I], n° 11 ad art. 69 CP). Dans chacun de ces trois cas de figure, la confiscation ne peut être prononcée que si, en outre, l'objet compromet la sécurité des personnes, la mo- rale ou l'ordre public (arrêt du Tribunal fédéral 6S.317/2006 du 10 octobre 2006, consid. 2.1; FLORIAN BAUMANN, in BK-Strafrecht I, n° 13 ad art. 69 CP). Le juge doit apprécier si ce risque existe à l'avenir et si la confiscation de l'objet s'impose (ATF 130 IV 143 consid. 3.3.1 p. 149). Il suffit qu'il soit vraisemblable qu'il y ait un danger si l'objet en question n'est pas confisqué (ATF 127 IV 203 consid. 7b p. 207; FLORIAN BAUMANN, in BK-Strafrecht I, n° 13 ad art. 69 CP et les réf.). Dans tous les cas, la confiscation doit être conforme au principe de la propor- tionnalité (ATF 125 IV 185 consid. 2a p. 187 et les arrêts cités). Il s'ensuit que la</w:t>
      </w:r>
    </w:p>
    <w:p>
      <w:r>
        <w:t>- 20 - mise hors d'usage ou la destruction des objets confisqués ne peut être ordonnée que si elle est nécessaire à atteindre le but visé (MADELEINE HIRSIG-VOUILLOZ, in CR-CP I, n° 40 ad art. 69 CP).</w:t>
      </w:r>
    </w:p>
    <w:p>
      <w:r>
        <w:rPr>
          <w:b/>
        </w:rPr>
        <w:t>E. 7.2</w:t>
      </w:r>
    </w:p>
    <w:p>
      <w:r>
        <w:t>En l'espèce, l'acte d'accusation propose la confiscation de plusieurs objets et la restitution d'autres objets à A. Ces propositions sont reprises dans l'ordre.</w:t>
      </w:r>
    </w:p>
    <w:p>
      <w:r>
        <w:rPr>
          <w:b/>
        </w:rPr>
        <w:t>E. 7.2.1</w:t>
      </w:r>
    </w:p>
    <w:p>
      <w:r>
        <w:t>Au chiffre 6.4 du dispositif, l'acte d'accusation retient la confiscation de douze cartes de visite de journalistes (objets séquestrés n° 01.05.0009), ainsi que d'un morceau de papier avec l’adresse email O.@yahoo.fr et un numéro de téléphone (objet séquestré n° 01.05.0010). Ces objets sont répertoriés au considérant 4.1 de l'acte d'accusation. Bien que ces objets semblent être liés aux infractions dont A. a été reconnu coupable, il n'apparaît pas qu'ils compromettent la sécurité des personnes, la morale ou l'ordre public. Les conditions de l'art. 69 al. 1 CP n'étant pas remplies, ces objets seront restitués à A. contre accusé de réception une fois le jugement entré en force (art. 103 al. 2 CPP).</w:t>
      </w:r>
    </w:p>
    <w:p>
      <w:r>
        <w:rPr>
          <w:b/>
        </w:rPr>
        <w:t>E. 7.2.2</w:t>
      </w:r>
    </w:p>
    <w:p>
      <w:r>
        <w:t>Au chiffre 6.5 du dispositif, l'acte d'accusation retient la suppression de toutes les données informatiques contenues dans le MacBook Air (objet séquestré n° 01.05.0001), dans l’Imac (objet séquestré n° 01.05.0003) et dans le disque dur externe WD (objet séquestré n° 01.05.0015) saisis le 5 juillet 2013 au domi- cile de A., ainsi que dans l’Iphone 5 IMEI n° ____ lui appartenant, avant la resti- tution contre quittance de ces objets au prénommé. La suppression des données informatiques contenues dans ces objets apparaît justifiée dans la mesure le prévenu s'en est servi pour ses révélations. La restitution des objets précités après la suppression de ces données est conforme au principe de la proportion- nalité. La proposition contenue au chiffre 6.5 du dispositif de l'acte d'accusation peut donc être approuvée.</w:t>
      </w:r>
    </w:p>
    <w:p>
      <w:r>
        <w:rPr>
          <w:b/>
        </w:rPr>
        <w:t>E. 7.2.3</w:t>
      </w:r>
    </w:p>
    <w:p>
      <w:r>
        <w:t>Au chiffre 6.6 du dispositif, l'acte d'accusation mentionne la restitution à A. des autres objets saisis lui appartenant, tels que répertoriés au considérant 4.1 de l'acte d'accusation. Les conditions de l'art. 69 al. 1 CP n'apparaissant pas rem- plies pour ces objets, leur restitution contre quittance doit être approuvée (art. 103 al. 2 CPP).</w:t>
      </w:r>
    </w:p>
    <w:p>
      <w:r>
        <w:rPr>
          <w:b/>
        </w:rPr>
        <w:t>E. 8</w:t>
      </w:r>
    </w:p>
    <w:p>
      <w:r>
        <w:t>Prétentions civiles</w:t>
      </w:r>
    </w:p>
    <w:p>
      <w:r>
        <w:rPr>
          <w:b/>
        </w:rPr>
        <w:t>E. 8.1</w:t>
      </w:r>
    </w:p>
    <w:p>
      <w:r>
        <w:t>L'acte d'accusation contient le règlement des prétentions civiles de la partie plai- gnante (art. 360 al. 1 let. f CPP). Si les conditions permettant de rendre le juge- ment selon la procédure simplifiée sont réunies, les prétentions civiles contenues dans l'acte d'accusation sont assimilées à un jugement (art. 362 al. 2 CPP).</w:t>
      </w:r>
    </w:p>
    <w:p>
      <w:r>
        <w:t>- 21 -</w:t>
      </w:r>
    </w:p>
    <w:p>
      <w:r>
        <w:rPr>
          <w:b/>
        </w:rPr>
        <w:t>E. 8.2</w:t>
      </w:r>
    </w:p>
    <w:p>
      <w:r>
        <w:t>Selon l'accord trouvé entre A. et les parties plaignantes B. SA et C. Sàrl, le pré- nommé reconnaît devoir à ces deux sociétés un montant de CHF 241'963.17 (chiffre 6.7 du dispositif de l'acte d'accusation). Le prévenu a confirmé cet accord lors de son interrogatoire par la Cour. Les conditions pour rendre le jugement en procédure simplifiée étant réunies, cet accord doit être assimilé à un jugement. Il convient de préciser que ce montant comprend notamment l'indemnité revenant à ces deux sociétés pour leurs frais de défense (art. 433 al. 1 let. a CPP).</w:t>
      </w:r>
    </w:p>
    <w:p>
      <w:r>
        <w:rPr>
          <w:b/>
        </w:rPr>
        <w:t>E. 8.3</w:t>
      </w:r>
    </w:p>
    <w:p>
      <w:r>
        <w:t>En ce qui concerne la partie plaignante D., ce dernier a requis le 5 décembre 2014 l'octroi d'une indemnité de CHF 4'463.65 hors TVA pour ses frais de dé- fense. TVA comprise, ce montant se chiffre à CHF 4'820.75. Interpellé à ce pro- pos, le prévenu A. a déclaré reconnaître cette indemnité de CHF 4'820.75 le</w:t>
      </w:r>
    </w:p>
    <w:p>
      <w:r>
        <w:rPr>
          <w:b/>
        </w:rPr>
        <w:t>E. 12</w:t>
      </w:r>
    </w:p>
    <w:p>
      <w:r>
        <w:t>décembre 2014, ce qu'il a confirmé lors de son interrogatoire par la Cour. Par conséquent, cet accord doit également être assimilé à un jugement. 9. Frais de procédure 9.1 Les frais de procédure se composent des émoluments visant à couvrir les frais et les débours effectivement supportés (art. 422 al. 1 CPP). Le prévenu supporte les frais de procédure s'il est condamné (art. 426 al. 1 CPP). Lorsque la procé- dure fait l'objet d'une ordonnance de classement ou que le prévenu est acquitté, tout ou partie des frais de procédure peuvent être mis à sa charge s'il a, de ma- nière illicite et fautive, provoqué l'ouverture de la procédure ou rendu plus difficile la conduite de celle-ci (art. 426 al. 2 CPP). Les émoluments sont dus pour les opérations accomplies ou ordonnées par la police judiciaire fédérale et le MPC dans la procédure préliminaire, ainsi que par la Cour des affaires pénales du Tribunal pénal fédéral dans la procédure de première instance (art. 1 al. 2 du Règlement du Tribunal pénal fédéral sur les frais, émoluments, dépens et indemnités de la procédure pénale fédérale, du 31 août 2010 [RFPPF; RS 173.713.162]). Le montant de l’émolument est calculé en fonction de l’ampleur et de la difficulté de la cause, de la façon de procéder des parties, de leur situation financière et de la charge de travail de chancellerie (art. 5 RFPPF). Les émoluments perçus dans la procédure préliminaire et celle de première instance sont chiffrés aux art. 6 et 7 RFPPF. Quant aux débours, ils comprennent notamment les frais imputables à la défense d’office et à l’assistance judiciaire gratuite, les frais de traduction, les frais d’expertise, les frais de participation d’autres autorités, les frais de port et de téléphone et d’autres frais analogues (art. 1 al. 3 RFPPF). 9.2 A teneur de la liste des frais figurant dans le dossier de la cause (dossier MPC, p. 24-00-00-0046), les débours de la procédure préliminaire se sont chiffrés à</w:t>
      </w:r>
    </w:p>
    <w:p>
      <w:r>
        <w:t>- 22 - CHF 10'100.--. Ce montant ne comprend pas les frais liés à la détention provi- soire de A. A cela s'ajoutent les émoluments du MPC (CHF 10'000.--) et de la Police judiciaire fédérale (CHF 7'000.--). Quant aux émoluments et aux débours de la procédure de première instance, ils sont fixés à CHF 2'000.-- (art. 7 let. b et art. 9 RFPPF). Par conséquent, les frais de procédure se chiffrent à CHF 29'100.-- au total. Le prévenu A. ayant été reconnu coupable de tous les chefs d'accusation, ces frais sont mis intégralement à sa charge (art. 426 al. 1 CPP). 10. Indemnisation du défenseur d'office 10.1 Le défenseur d'office est indemnisé conformément au tarif des avocats de la Confédération et du canton du for du procès (art. 135 al. 1 CPP). Le ministère public ou le tribunal qui statue au fond fixent l'indemnité à la fin de la procédure (art. 135 al. 2 CPP). 10.2 Selon le chiffre 6.9 du dispositif de l'acte d'accusation, l'indemnité revenant à Maître Edmond de Braun pour l'activité qu'il a exercée jusqu'au 24 septembre 2014 en qualité de défenseur d'office du prévenu A. se chiffre à CHF 57'919.35, TVA comprise. Ce montant peut être admis. A cela s'ajoute une indemnité com- plémentaire de CHF 5'301.70, TVA comprise, pour l'activité qu'il a exercée de- vant le Tribunal pénal fédéral. L'indemnité définitive de Maître Edmond de Braun se chiffre par conséquent à CHF 63'221.05, TVA comprise. Interpellé à ce pro- pos durant les débats, le prévenu A. a manifesté son accord quant à cette in- demnité. Conformément à l'art. 135 al. 4 let. a et b CPP, dès que sa situation le permet, le prévenu A. est tenu de rembourser les frais d'honoraires à la Confédération, et au défenseur la différence entre son indemnité en tant que défenseur désigné et les honoraires qu'il aurait touchés comme défenseur privé.</w:t>
      </w:r>
    </w:p>
    <w:p>
      <w:r>
        <w:t>- 23 -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