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SK.2014.27 vom 22. Oktober 2014</w:t>
      </w:r>
    </w:p>
    <w:p>
      <w:r>
        <w:t>Bundesstrafgericht, 2014-10-22, DE</w:t>
      </w:r>
    </w:p>
    <w:p>
      <w:r>
        <w:rPr>
          <w:b/>
        </w:rPr>
        <w:t xml:space="preserve">Quelle: </w:t>
      </w:r>
      <w:r>
        <w:t>https://mcp.opencaselaw.ch/entscheid/bstger_SK.2014.27</w:t>
      </w:r>
    </w:p>
    <w:p>
      <w:r>
        <w:t>FR: TPF SK.2014.27 du 22 octobre 2014</w:t>
      </w:r>
    </w:p>
    <w:p>
      <w:r>
        <w:t>IT: TPF SK.2014.27 del 22 ottobre 2014</w:t>
      </w:r>
    </w:p>
    <w:p>
      <w:pPr>
        <w:pStyle w:val="Heading2"/>
      </w:pPr>
      <w:r>
        <w:t>Regeste</w:t>
      </w:r>
    </w:p>
    <w:p>
      <w:r>
        <w:t>Gewalt und Drohung gegen Behörden und Beamte, Hinderung einer Amtshandlung, einfache Körperverletzung, evtl. Tätlichkeiten.</w:t>
      </w:r>
    </w:p>
    <w:p>
      <w:pPr>
        <w:pStyle w:val="Heading2"/>
      </w:pPr>
      <w:r>
        <w:t>Erwägungen</w:t>
      </w:r>
    </w:p>
    <w:p>
      <w:r>
        <w:rPr>
          <w:b/>
        </w:rPr>
        <w:t>E. 1</w:t>
      </w:r>
    </w:p>
    <w:p>
      <w:r>
        <w:t>A. wird der mehrfachen Gewalt und Drohung gegen Behörden und Beamte (Art. 285 Ziff. 1 StGB) schuldig gesprochen.</w:t>
      </w:r>
    </w:p>
    <w:p>
      <w:r>
        <w:rPr>
          <w:b/>
        </w:rPr>
        <w:t>E. 2</w:t>
      </w:r>
    </w:p>
    <w:p>
      <w:r>
        <w:t>A. wird vom Vorwurf der einfachen Körperverletzung (Art. 123 Ziff. 1 Abs. 1 StGB) freigesprochen.</w:t>
      </w:r>
    </w:p>
    <w:p>
      <w:r>
        <w:rPr>
          <w:b/>
        </w:rPr>
        <w:t>E. 3</w:t>
      </w:r>
    </w:p>
    <w:p>
      <w:r>
        <w:t>A. wird zu einer Geldstrafe von 50 Tagessätzen zu je Fr. 30.--, entsprechend Fr. 1'500.-- (Art. 34, 42, 44 und 47 StGB), bedingt vollziehbar mit einer Probezeit von 2 Jahren verurteilt.</w:t>
      </w:r>
    </w:p>
    <w:p>
      <w:r>
        <w:t>A. wird zusätzlich mit einer Busse von Fr. 300.-- bestraft. Soweit A. die Busse schuld- haft nicht bezahlt, so tritt an deren Stelle eine Ersatzfreiheitsstrafe von 3 Tagen (Art. 42 Abs. 4 und 106 Abs. 2 StGB).</w:t>
      </w:r>
    </w:p>
    <w:p>
      <w:r>
        <w:t>Der Kanton Zürich wird als Vollzugskanton bestimmt (Art. 74 StBOG). II. 1. Die Verfahrenskosten (inkl. Gerichtsgebühr und Kosten des Vorverfahrens) betragen Fr. 500.-- . 2. Die Kosten des Verfahrens werden A. auferlegt. III. Dieses Urteil wird in der Hauptverhandlung eröffnet und durch den Einzelrichter münd- lich begründet. A. wird das Urteilsdispositiv ausgehändigt. Den übrigen Parteien wird das Urteil schriftlich mitgeteilt.</w:t>
      </w:r>
    </w:p>
    <w:p>
      <w:r>
        <w:t>Im Namen der Strafkammer des Bundesstrafgerichts</w:t>
      </w:r>
    </w:p>
    <w:p>
      <w:r>
        <w:t>Der Einzelrichter Die Gerichtsschreiberin</w:t>
      </w:r>
    </w:p>
    <w:p>
      <w:r>
        <w:t>- 3 -</w:t>
      </w:r>
    </w:p>
    <w:p>
      <w:r>
        <w:t>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 heitsentzug von mehr als zwei Jahren ausspricht (Art. 82 Abs. 1 StPO). Das Gericht stellt den Parteien nachträglich ein begründetes Urteil zu, wenn eine Partei dies innert 10 Tagen nach der Zustellung des Dispositivs verlangt (Art. 82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